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4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892"/>
        <w:gridCol w:w="858"/>
        <w:gridCol w:w="1287"/>
        <w:gridCol w:w="120"/>
        <w:gridCol w:w="1275"/>
        <w:gridCol w:w="75"/>
        <w:gridCol w:w="1470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8477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36"/>
                <w:vertAlign w:val="baseline"/>
                <w:lang w:val="en-US" w:eastAsia="zh-CN"/>
              </w:rPr>
              <w:t>上外贤达学院科研项目劳务费/专家咨询费情况表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 目</w:t>
            </w:r>
          </w:p>
          <w:p>
            <w:pPr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名 称</w:t>
            </w: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 目</w:t>
            </w:r>
          </w:p>
          <w:p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编 号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 目</w:t>
            </w:r>
          </w:p>
          <w:p>
            <w:pPr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负责人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类别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47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专家费/劳务费使用情况</w:t>
            </w:r>
            <w:r>
              <w:rPr>
                <w:rFonts w:hint="eastAsia"/>
                <w:vertAlign w:val="baseline"/>
                <w:lang w:val="en-US" w:eastAsia="zh-CN"/>
              </w:rPr>
              <w:t>（包括但不限：项目评审、咨询、资料与数据的收集、整理、分析情况，工作安排情况， 事由按人员情况分述，可分页）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1" w:hRule="atLeast"/>
        </w:trPr>
        <w:tc>
          <w:tcPr>
            <w:tcW w:w="847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47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项目负责人承诺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477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1.劳务费发放人员为非本校工资性收入人员，并保证其工作内容的真实性。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477" w:type="dxa"/>
            <w:gridSpan w:val="9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2.专家咨询费发放人员为非本校工资性收入人员及非项目组成员，并保证其工作内容的真实性。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51" w:type="dxa"/>
            <w:gridSpan w:val="5"/>
            <w:tcBorders>
              <w:top w:val="nil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项目负责人（签字）</w:t>
            </w:r>
          </w:p>
        </w:tc>
        <w:tc>
          <w:tcPr>
            <w:tcW w:w="3151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4051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4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ind w:firstLine="2100" w:firstLineChars="10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926A659-E332-4087-9621-470CFFAF12F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28D5295-DBD9-48F6-A62B-ADA189D5279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zZmI0NzMwM2YwMTNkMzljOGI1Yzc1ZDEzZjAzZmEifQ=="/>
  </w:docVars>
  <w:rsids>
    <w:rsidRoot w:val="43CA5E6D"/>
    <w:rsid w:val="43CA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2022-10-28T06:42:00Z</dcterms:created>
  <dc:creator>GAGA DUCK</dc:creator>
  <cp:lastModifiedBy>GAGA DUCK</cp:lastModifiedBy>
  <dcterms:modified xsi:type="dcterms:W3CDTF">2022-10-28T06:43:31Z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A2A4D7A38005447E9F7E26DA2DBC3E18</vt:lpwstr>
  </property>
</Properties>
</file>