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hint="eastAsia" w:ascii="Microsoft YaHei UI" w:hAnsi="Microsoft YaHei UI" w:eastAsia="Microsoft YaHei UI" w:cs="Microsoft YaHei UI"/>
          <w:i w:val="0"/>
          <w:iCs w:val="0"/>
          <w:caps w:val="0"/>
          <w:spacing w:val="8"/>
          <w:sz w:val="28"/>
          <w:szCs w:val="28"/>
          <w:lang w:val="en-US" w:eastAsia="zh-CN"/>
        </w:rPr>
      </w:pPr>
      <w:r>
        <w:rPr>
          <w:rFonts w:hint="eastAsia" w:ascii="Microsoft YaHei UI" w:hAnsi="Microsoft YaHei UI" w:eastAsia="Microsoft YaHei UI" w:cs="Microsoft YaHei UI"/>
          <w:i w:val="0"/>
          <w:iCs w:val="0"/>
          <w:caps w:val="0"/>
          <w:spacing w:val="8"/>
          <w:sz w:val="28"/>
          <w:szCs w:val="28"/>
          <w:bdr w:val="none" w:color="auto" w:sz="0" w:space="0"/>
          <w:shd w:val="clear" w:fill="FFFFFF"/>
        </w:rPr>
        <w:t>关于</w:t>
      </w:r>
      <w:r>
        <w:rPr>
          <w:rFonts w:hint="eastAsia" w:ascii="Microsoft YaHei UI" w:hAnsi="Microsoft YaHei UI" w:eastAsia="Microsoft YaHei UI" w:cs="Microsoft YaHei UI"/>
          <w:i w:val="0"/>
          <w:iCs w:val="0"/>
          <w:caps w:val="0"/>
          <w:spacing w:val="8"/>
          <w:sz w:val="28"/>
          <w:szCs w:val="28"/>
          <w:bdr w:val="none" w:color="auto" w:sz="0" w:space="0"/>
          <w:shd w:val="clear" w:fill="FFFFFF"/>
          <w:lang w:val="en-US" w:eastAsia="zh-CN"/>
        </w:rPr>
        <w:t>组织申报</w:t>
      </w:r>
      <w:r>
        <w:rPr>
          <w:rFonts w:hint="eastAsia" w:ascii="Microsoft YaHei UI" w:hAnsi="Microsoft YaHei UI" w:eastAsia="Microsoft YaHei UI" w:cs="Microsoft YaHei UI"/>
          <w:i w:val="0"/>
          <w:iCs w:val="0"/>
          <w:caps w:val="0"/>
          <w:spacing w:val="8"/>
          <w:sz w:val="28"/>
          <w:szCs w:val="28"/>
          <w:bdr w:val="none" w:color="auto" w:sz="0" w:space="0"/>
          <w:shd w:val="clear" w:fill="FFFFFF"/>
        </w:rPr>
        <w:t>2025年文化和旅游宏观决策课题的</w:t>
      </w:r>
      <w:r>
        <w:rPr>
          <w:rFonts w:hint="eastAsia" w:ascii="Microsoft YaHei UI" w:hAnsi="Microsoft YaHei UI" w:eastAsia="Microsoft YaHei UI" w:cs="Microsoft YaHei UI"/>
          <w:i w:val="0"/>
          <w:iCs w:val="0"/>
          <w:caps w:val="0"/>
          <w:spacing w:val="8"/>
          <w:sz w:val="28"/>
          <w:szCs w:val="28"/>
          <w:bdr w:val="none" w:color="auto" w:sz="0" w:space="0"/>
          <w:shd w:val="clear" w:fill="FFFFFF"/>
          <w:lang w:val="en-US" w:eastAsia="zh-CN"/>
        </w:rPr>
        <w:t>通知</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color w:val="000000" w:themeColor="text1"/>
          <w:spacing w:val="7"/>
          <w:sz w:val="24"/>
          <w:szCs w:val="24"/>
          <w:lang w:val="en-US" w:eastAsia="zh-CN"/>
          <w14:textFill>
            <w14:solidFill>
              <w14:schemeClr w14:val="tx1"/>
            </w14:solidFill>
          </w14:textFill>
        </w:rPr>
      </w:pPr>
      <w:r>
        <w:rPr>
          <w:rFonts w:hint="eastAsia"/>
          <w:color w:val="000000" w:themeColor="text1"/>
          <w:spacing w:val="7"/>
          <w:sz w:val="24"/>
          <w:szCs w:val="24"/>
          <w:lang w:val="en-US" w:eastAsia="zh-CN"/>
          <w14:textFill>
            <w14:solidFill>
              <w14:schemeClr w14:val="tx1"/>
            </w14:solidFill>
          </w14:textFill>
        </w:rPr>
        <w:t>各院、部、处、中</w:t>
      </w:r>
      <w:bookmarkStart w:id="0" w:name="_GoBack"/>
      <w:bookmarkEnd w:id="0"/>
      <w:r>
        <w:rPr>
          <w:rFonts w:hint="eastAsia"/>
          <w:color w:val="000000" w:themeColor="text1"/>
          <w:spacing w:val="7"/>
          <w:sz w:val="24"/>
          <w:szCs w:val="24"/>
          <w:lang w:val="en-US" w:eastAsia="zh-CN"/>
          <w14:textFill>
            <w14:solidFill>
              <w14:schemeClr w14:val="tx1"/>
            </w14:solidFill>
          </w14:textFill>
        </w:rPr>
        <w:t>心：</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508" w:firstLineChars="200"/>
        <w:textAlignment w:val="auto"/>
      </w:pPr>
      <w:r>
        <w:rPr>
          <w:color w:val="000000" w:themeColor="text1"/>
          <w:spacing w:val="7"/>
          <w:sz w:val="24"/>
          <w:szCs w:val="24"/>
          <w14:textFill>
            <w14:solidFill>
              <w14:schemeClr w14:val="tx1"/>
            </w14:solidFill>
          </w14:textFill>
        </w:rPr>
        <w:t>经2019年7月文化和旅游部批准，原国家旅游局科研立项课题调整为文化和旅游宏观决策课题，由中国旅游研究院（文化和旅游部数据中心）组织实施。在广泛征求学术共同体、院学术委员会及部相关司局意见基础上，经研究决定，现发布2025年课题指南并启动申报工作。有关事项</w:t>
      </w:r>
      <w:r>
        <w:rPr>
          <w:rFonts w:hint="eastAsia"/>
          <w:color w:val="000000" w:themeColor="text1"/>
          <w:spacing w:val="7"/>
          <w:sz w:val="24"/>
          <w:szCs w:val="24"/>
          <w:lang w:val="en-US" w:eastAsia="zh-CN"/>
          <w14:textFill>
            <w14:solidFill>
              <w14:schemeClr w14:val="tx1"/>
            </w14:solidFill>
          </w14:textFill>
        </w:rPr>
        <w:t>转发</w:t>
      </w:r>
      <w:r>
        <w:rPr>
          <w:color w:val="000000" w:themeColor="text1"/>
          <w:spacing w:val="7"/>
          <w:sz w:val="24"/>
          <w:szCs w:val="24"/>
          <w14:textFill>
            <w14:solidFill>
              <w14:schemeClr w14:val="tx1"/>
            </w14:solidFill>
          </w14:textFill>
        </w:rPr>
        <w:t>如下：</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rStyle w:val="6"/>
          <w:color w:val="000000" w:themeColor="text1"/>
          <w:sz w:val="24"/>
          <w:szCs w:val="24"/>
          <w14:textFill>
            <w14:solidFill>
              <w14:schemeClr w14:val="tx1"/>
            </w14:solidFill>
          </w14:textFill>
        </w:rPr>
        <w:t>一、课题指南</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color w:val="000000" w:themeColor="text1"/>
          <w:sz w:val="24"/>
          <w:szCs w:val="24"/>
          <w14:textFill>
            <w14:solidFill>
              <w14:schemeClr w14:val="tx1"/>
            </w14:solidFill>
          </w14:textFill>
        </w:rPr>
        <w:t>文化和旅游宏观决策课题分为重点和一般两类。2025年重点围绕以下方向开展研究，具体题目自拟。</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rStyle w:val="6"/>
          <w:color w:val="000000" w:themeColor="text1"/>
          <w:sz w:val="24"/>
          <w:szCs w:val="24"/>
          <w14:textFill>
            <w14:solidFill>
              <w14:schemeClr w14:val="tx1"/>
            </w14:solidFill>
          </w14:textFill>
        </w:rPr>
        <w:t>（一）重点课题选题（10项）</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color w:val="000000" w:themeColor="text1"/>
          <w:sz w:val="24"/>
          <w:szCs w:val="24"/>
          <w14:textFill>
            <w14:solidFill>
              <w14:schemeClr w14:val="tx1"/>
            </w14:solidFill>
          </w14:textFill>
        </w:rPr>
        <w:t>1. 旅游强国建设的战略和政策研究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color w:val="000000" w:themeColor="text1"/>
          <w:sz w:val="24"/>
          <w:szCs w:val="24"/>
          <w14:textFill>
            <w14:solidFill>
              <w14:schemeClr w14:val="tx1"/>
            </w14:solidFill>
          </w14:textFill>
        </w:rPr>
        <w:t>2. “十五五”旅游业发展关键战略研究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color w:val="000000" w:themeColor="text1"/>
          <w:sz w:val="24"/>
          <w:szCs w:val="24"/>
          <w14:textFill>
            <w14:solidFill>
              <w14:schemeClr w14:val="tx1"/>
            </w14:solidFill>
          </w14:textFill>
        </w:rPr>
        <w:t>3. 现代旅游业体系建设研究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color w:val="000000" w:themeColor="text1"/>
          <w:sz w:val="24"/>
          <w:szCs w:val="24"/>
          <w14:textFill>
            <w14:solidFill>
              <w14:schemeClr w14:val="tx1"/>
            </w14:solidFill>
          </w14:textFill>
        </w:rPr>
        <w:t>4. 世界一流旅游企业培育路径和措施研究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color w:val="000000" w:themeColor="text1"/>
          <w:sz w:val="24"/>
          <w:szCs w:val="24"/>
          <w14:textFill>
            <w14:solidFill>
              <w14:schemeClr w14:val="tx1"/>
            </w14:solidFill>
          </w14:textFill>
        </w:rPr>
        <w:t>5. 独具特色的中国旅游发展之路内涵研究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color w:val="000000" w:themeColor="text1"/>
          <w:sz w:val="24"/>
          <w:szCs w:val="24"/>
          <w14:textFill>
            <w14:solidFill>
              <w14:schemeClr w14:val="tx1"/>
            </w14:solidFill>
          </w14:textFill>
        </w:rPr>
        <w:t>6. 旅游发展战略体系研究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color w:val="000000" w:themeColor="text1"/>
          <w:sz w:val="24"/>
          <w:szCs w:val="24"/>
          <w14:textFill>
            <w14:solidFill>
              <w14:schemeClr w14:val="tx1"/>
            </w14:solidFill>
          </w14:textFill>
        </w:rPr>
        <w:t>7. 旅游消费增长潜力和动力研究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color w:val="000000" w:themeColor="text1"/>
          <w:sz w:val="24"/>
          <w:szCs w:val="24"/>
          <w14:textFill>
            <w14:solidFill>
              <w14:schemeClr w14:val="tx1"/>
            </w14:solidFill>
          </w14:textFill>
        </w:rPr>
        <w:t>8. 旅游国际合作促进中国国际影响力提升研究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color w:val="000000" w:themeColor="text1"/>
          <w:sz w:val="24"/>
          <w:szCs w:val="24"/>
          <w14:textFill>
            <w14:solidFill>
              <w14:schemeClr w14:val="tx1"/>
            </w14:solidFill>
          </w14:textFill>
        </w:rPr>
        <w:t>9. 新时期我国入境旅游市场营销策略研究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color w:val="000000" w:themeColor="text1"/>
          <w:sz w:val="24"/>
          <w:szCs w:val="24"/>
          <w14:textFill>
            <w14:solidFill>
              <w14:schemeClr w14:val="tx1"/>
            </w14:solidFill>
          </w14:textFill>
        </w:rPr>
        <w:t>10.非遗与旅游深度融合发展的业态创新与实践路径研究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rStyle w:val="6"/>
          <w:color w:val="000000" w:themeColor="text1"/>
          <w:sz w:val="24"/>
          <w:szCs w:val="24"/>
          <w14:textFill>
            <w14:solidFill>
              <w14:schemeClr w14:val="tx1"/>
            </w14:solidFill>
          </w14:textFill>
        </w:rPr>
        <w:t>（二）一般课题选题（16项）</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color w:val="000000" w:themeColor="text1"/>
          <w:sz w:val="24"/>
          <w:szCs w:val="24"/>
          <w14:textFill>
            <w14:solidFill>
              <w14:schemeClr w14:val="tx1"/>
            </w14:solidFill>
          </w14:textFill>
        </w:rPr>
        <w:t>1.世界级和国家级旅游线路开发研究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color w:val="000000" w:themeColor="text1"/>
          <w:sz w:val="24"/>
          <w:szCs w:val="24"/>
          <w14:textFill>
            <w14:solidFill>
              <w14:schemeClr w14:val="tx1"/>
            </w14:solidFill>
          </w14:textFill>
        </w:rPr>
        <w:t>2.世界级旅游景区度假区助力旅游强国建设研究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color w:val="000000" w:themeColor="text1"/>
          <w:sz w:val="24"/>
          <w:szCs w:val="24"/>
          <w14:textFill>
            <w14:solidFill>
              <w14:schemeClr w14:val="tx1"/>
            </w14:solidFill>
          </w14:textFill>
        </w:rPr>
        <w:t>3.世界级旅游城市和街区研究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color w:val="000000" w:themeColor="text1"/>
          <w:sz w:val="24"/>
          <w:szCs w:val="24"/>
          <w14:textFill>
            <w14:solidFill>
              <w14:schemeClr w14:val="tx1"/>
            </w14:solidFill>
          </w14:textFill>
        </w:rPr>
        <w:t>4.中国古代“好客之道”与中国服务和现代旅游研究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color w:val="000000" w:themeColor="text1"/>
          <w:sz w:val="24"/>
          <w:szCs w:val="24"/>
          <w14:textFill>
            <w14:solidFill>
              <w14:schemeClr w14:val="tx1"/>
            </w14:solidFill>
          </w14:textFill>
        </w:rPr>
        <w:t>5.新时期旅游饭店商业模式转型升级路径研究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color w:val="000000" w:themeColor="text1"/>
          <w:sz w:val="24"/>
          <w:szCs w:val="24"/>
          <w14:textFill>
            <w14:solidFill>
              <w14:schemeClr w14:val="tx1"/>
            </w14:solidFill>
          </w14:textFill>
        </w:rPr>
        <w:t>6.以新质生产力推进旅游产业新模式新业态发展研究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color w:val="000000" w:themeColor="text1"/>
          <w:sz w:val="24"/>
          <w:szCs w:val="24"/>
          <w14:textFill>
            <w14:solidFill>
              <w14:schemeClr w14:val="tx1"/>
            </w14:solidFill>
          </w14:textFill>
        </w:rPr>
        <w:t>7.乡村旅游的内涵与外延研究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color w:val="000000" w:themeColor="text1"/>
          <w:sz w:val="24"/>
          <w:szCs w:val="24"/>
          <w14:textFill>
            <w14:solidFill>
              <w14:schemeClr w14:val="tx1"/>
            </w14:solidFill>
          </w14:textFill>
        </w:rPr>
        <w:t>8.冰雪旅游全产业链发展研究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color w:val="000000" w:themeColor="text1"/>
          <w:sz w:val="24"/>
          <w:szCs w:val="24"/>
          <w14:textFill>
            <w14:solidFill>
              <w14:schemeClr w14:val="tx1"/>
            </w14:solidFill>
          </w14:textFill>
        </w:rPr>
        <w:t>9.我国红色研学旅游高质量发展研究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color w:val="000000" w:themeColor="text1"/>
          <w:sz w:val="24"/>
          <w:szCs w:val="24"/>
          <w14:textFill>
            <w14:solidFill>
              <w14:schemeClr w14:val="tx1"/>
            </w14:solidFill>
          </w14:textFill>
        </w:rPr>
        <w:t>10.完善新时代旅游学科体系（理论体系、专业体系、学科体系、课程体系、教材体系、师资队伍等）研究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color w:val="000000" w:themeColor="text1"/>
          <w:sz w:val="24"/>
          <w:szCs w:val="24"/>
          <w14:textFill>
            <w14:solidFill>
              <w14:schemeClr w14:val="tx1"/>
            </w14:solidFill>
          </w14:textFill>
        </w:rPr>
        <w:t>11.“十五五”旅游人才队伍建设研究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color w:val="000000" w:themeColor="text1"/>
          <w:sz w:val="24"/>
          <w:szCs w:val="24"/>
          <w14:textFill>
            <w14:solidFill>
              <w14:schemeClr w14:val="tx1"/>
            </w14:solidFill>
          </w14:textFill>
        </w:rPr>
        <w:t>12.旅游宣传推广新趋势新特点研究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color w:val="000000" w:themeColor="text1"/>
          <w:sz w:val="24"/>
          <w:szCs w:val="24"/>
          <w14:textFill>
            <w14:solidFill>
              <w14:schemeClr w14:val="tx1"/>
            </w14:solidFill>
          </w14:textFill>
        </w:rPr>
        <w:t>13.旅游重大项目资本运作路径和方式研究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color w:val="000000" w:themeColor="text1"/>
          <w:sz w:val="24"/>
          <w:szCs w:val="24"/>
          <w14:textFill>
            <w14:solidFill>
              <w14:schemeClr w14:val="tx1"/>
            </w14:solidFill>
          </w14:textFill>
        </w:rPr>
        <w:t>14.大模型技术支撑的文化和旅游产业政策决策机制研究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color w:val="000000" w:themeColor="text1"/>
          <w:sz w:val="24"/>
          <w:szCs w:val="24"/>
          <w14:textFill>
            <w14:solidFill>
              <w14:schemeClr w14:val="tx1"/>
            </w14:solidFill>
          </w14:textFill>
        </w:rPr>
        <w:t>15.文化和旅游高质量数据集建设研究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color w:val="000000" w:themeColor="text1"/>
          <w:sz w:val="24"/>
          <w:szCs w:val="24"/>
          <w14:textFill>
            <w14:solidFill>
              <w14:schemeClr w14:val="tx1"/>
            </w14:solidFill>
          </w14:textFill>
        </w:rPr>
        <w:t>16.艺术节庆活动与旅游有机融合研究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rStyle w:val="6"/>
          <w:color w:val="000000" w:themeColor="text1"/>
          <w:sz w:val="24"/>
          <w:szCs w:val="24"/>
          <w14:textFill>
            <w14:solidFill>
              <w14:schemeClr w14:val="tx1"/>
            </w14:solidFill>
          </w14:textFill>
        </w:rPr>
        <w:t>二、申报要求</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color w:val="000000" w:themeColor="text1"/>
          <w:sz w:val="24"/>
          <w:szCs w:val="24"/>
          <w14:textFill>
            <w14:solidFill>
              <w14:schemeClr w14:val="tx1"/>
            </w14:solidFill>
          </w14:textFill>
        </w:rPr>
        <w:t>1.课题申请必须围绕课题指南中所列内容，确定1个研究方向自行设计具体题目，课题名称的表述应科学、严谨、规范、简明，一般不加副标题，超出课题指南范围的申请不予受理。</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color w:val="000000" w:themeColor="text1"/>
          <w:sz w:val="24"/>
          <w:szCs w:val="24"/>
          <w14:textFill>
            <w14:solidFill>
              <w14:schemeClr w14:val="tx1"/>
            </w14:solidFill>
          </w14:textFill>
        </w:rPr>
        <w:t>2.全国高等院校、科研机构、政府部门及其他企事业单位中符合下列条件的人员，可以申请科研课题：（1）遵守中华人民共和国宪法和法律，坚持以习近平新时代中国特色社会主义思想为指导，拥护党的路线、方针和政策。（2）具有独立开展研究和组织开展研究的能力，能够承担实质性研究工作；（3）高等院校、科研机构和其他企事业单位的人员须具有中级及以上职称或已获得博士学位；政府部门的人员应具有处级及以上职务。（4）有不少于三人参加的课题组（含课题负责人）。</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color w:val="000000" w:themeColor="text1"/>
          <w:sz w:val="24"/>
          <w:szCs w:val="24"/>
          <w14:textFill>
            <w14:solidFill>
              <w14:schemeClr w14:val="tx1"/>
            </w14:solidFill>
          </w14:textFill>
        </w:rPr>
        <w:t>3.文化和旅游部机关工作人员不能申报或者参与申报文化和旅游宏观决策课题。因病不能坚持正常工作，或者已出国并仍将在国外停留半年以上，或者在课题研究过程中准备出国停留半年以上的人员，不得申请课题。结项鉴定为“不予结项”的课题主持人，三年内不得申报。在职人员须从所在单位申报，兼职人员申报课题不予受理。</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rStyle w:val="6"/>
          <w:color w:val="000000" w:themeColor="text1"/>
          <w:sz w:val="24"/>
          <w:szCs w:val="24"/>
          <w14:textFill>
            <w14:solidFill>
              <w14:schemeClr w14:val="tx1"/>
            </w14:solidFill>
          </w14:textFill>
        </w:rPr>
        <w:t>三、申报书和活页</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left"/>
        <w:textAlignment w:val="auto"/>
        <w:rPr>
          <w:rStyle w:val="6"/>
          <w:rFonts w:ascii="宋体" w:hAnsi="宋体" w:eastAsia="宋体" w:cs="宋体"/>
          <w:color w:val="FF0000"/>
          <w:kern w:val="0"/>
          <w:sz w:val="24"/>
          <w:szCs w:val="24"/>
          <w:u w:val="none"/>
          <w:lang w:val="en-US" w:eastAsia="zh-CN" w:bidi="ar"/>
        </w:rPr>
      </w:pPr>
      <w:r>
        <w:rPr>
          <w:rFonts w:ascii="宋体" w:hAnsi="宋体" w:eastAsia="宋体" w:cs="宋体"/>
          <w:color w:val="000000" w:themeColor="text1"/>
          <w:kern w:val="0"/>
          <w:sz w:val="24"/>
          <w:szCs w:val="24"/>
          <w:lang w:val="en-US" w:eastAsia="zh-CN" w:bidi="ar"/>
          <w14:textFill>
            <w14:solidFill>
              <w14:schemeClr w14:val="tx1"/>
            </w14:solidFill>
          </w14:textFill>
        </w:rPr>
        <w:t>1.课题申报人须如实、规范填写《文化和旅游宏观决策课题申报书（2025年2月制）》（以下简称《申报书》）和课题活页，并保证没有知识产权争议。凡存在弄虚作假、抄袭剽窃等行为的，一经发现查实，3年内不再受理其申报；如获立项即予撤项并通报批评。课题《申报书》及活页均需上传系统。课题活页上传要求为PDF格式，</w:t>
      </w:r>
      <w:r>
        <w:rPr>
          <w:rStyle w:val="6"/>
          <w:rFonts w:ascii="宋体" w:hAnsi="宋体" w:eastAsia="宋体" w:cs="宋体"/>
          <w:color w:val="FF0000"/>
          <w:kern w:val="0"/>
          <w:sz w:val="24"/>
          <w:szCs w:val="24"/>
          <w:u w:val="none"/>
          <w:lang w:val="en-US" w:eastAsia="zh-CN" w:bidi="ar"/>
        </w:rPr>
        <w:t>活页内容不得直接或间接透露个人相关背景材料、信息等内容。</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ascii="宋体" w:hAnsi="宋体" w:eastAsia="宋体" w:cs="宋体"/>
          <w:color w:val="000000" w:themeColor="text1"/>
          <w:kern w:val="0"/>
          <w:sz w:val="24"/>
          <w:szCs w:val="24"/>
          <w:lang w:val="en-US" w:eastAsia="zh-CN" w:bidi="ar"/>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2.在文化和旅游宏观决策课题与优秀研究成果管理系统（http://221.239.119.24:8088/xmsb/indexAction!to_index.action）“材料下载”处下载《申报书》及活页最新版。</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left"/>
        <w:textAlignment w:val="auto"/>
        <w:rPr>
          <w:color w:val="000000" w:themeColor="text1"/>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3.申报课题全部实行资格审查、通讯评审和会议终审的方式，活页论证部分的字数不得超过4000字。</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4.《申请书》封面研究方向，须填写对应课题指南所列选题序号（如：重点课题1）。</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5.《申报书》经费预算部分，如有资助额度限制，请严格按照比例填写预算。</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6.获准立项的《申报书》视为具有约束力的资助合同文本。最终成果实行会议评审鉴定，鉴定等级予以公布。</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7.请</w:t>
      </w:r>
      <w:r>
        <w:rPr>
          <w:color w:val="000000" w:themeColor="text1"/>
          <w:sz w:val="24"/>
          <w:szCs w:val="24"/>
          <w14:textFill>
            <w14:solidFill>
              <w14:schemeClr w14:val="tx1"/>
            </w14:solidFill>
          </w14:textFill>
        </w:rPr>
        <w:t>申请人严格按照《申请书》及活页要求进行填写，信息填报不规范（论证部分字数超限、透露个人信息、预算比例不符合要求等）的申报，不通过资格审查。</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rStyle w:val="6"/>
          <w:color w:val="000000" w:themeColor="text1"/>
          <w:sz w:val="24"/>
          <w:szCs w:val="24"/>
          <w14:textFill>
            <w14:solidFill>
              <w14:schemeClr w14:val="tx1"/>
            </w14:solidFill>
          </w14:textFill>
        </w:rPr>
        <w:t>四、经费资助</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color w:val="000000" w:themeColor="text1"/>
          <w:sz w:val="24"/>
          <w:szCs w:val="24"/>
          <w14:textFill>
            <w14:solidFill>
              <w14:schemeClr w14:val="tx1"/>
            </w14:solidFill>
          </w14:textFill>
        </w:rPr>
        <w:t>根据本年度中央财政预算下达额度，重点课题资助额度为每项1.5万元，一般课题资助额度为每项1万元。</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rStyle w:val="6"/>
          <w:color w:val="000000" w:themeColor="text1"/>
          <w:sz w:val="24"/>
          <w:szCs w:val="24"/>
          <w14:textFill>
            <w14:solidFill>
              <w14:schemeClr w14:val="tx1"/>
            </w14:solidFill>
          </w14:textFill>
        </w:rPr>
        <w:t>五、研究期限</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color w:val="000000" w:themeColor="text1"/>
          <w:sz w:val="24"/>
          <w:szCs w:val="24"/>
          <w14:textFill>
            <w14:solidFill>
              <w14:schemeClr w14:val="tx1"/>
            </w14:solidFill>
          </w14:textFill>
        </w:rPr>
        <w:t>2025年文化和旅游宏观决策课题</w:t>
      </w:r>
      <w:r>
        <w:rPr>
          <w:rStyle w:val="6"/>
          <w:color w:val="FF0000"/>
          <w:sz w:val="24"/>
          <w:szCs w:val="24"/>
          <w:u w:val="none"/>
        </w:rPr>
        <w:t>应于2025年10月31日前提交结项成果</w:t>
      </w:r>
      <w:r>
        <w:rPr>
          <w:color w:val="FF0000"/>
          <w:sz w:val="24"/>
          <w:szCs w:val="24"/>
          <w:u w:val="none"/>
        </w:rPr>
        <w:t>。</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rStyle w:val="6"/>
          <w:color w:val="000000" w:themeColor="text1"/>
          <w:sz w:val="24"/>
          <w:szCs w:val="24"/>
          <w14:textFill>
            <w14:solidFill>
              <w14:schemeClr w14:val="tx1"/>
            </w14:solidFill>
          </w14:textFill>
        </w:rPr>
        <w:t>六、成果要求</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rStyle w:val="6"/>
          <w:color w:val="000000" w:themeColor="text1"/>
          <w:sz w:val="24"/>
          <w:szCs w:val="24"/>
          <w14:textFill>
            <w14:solidFill>
              <w14:schemeClr w14:val="tx1"/>
            </w14:solidFill>
          </w14:textFill>
        </w:rPr>
        <w:t>（一）研究报告</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left"/>
        <w:textAlignment w:val="auto"/>
        <w:rPr>
          <w:color w:val="000000" w:themeColor="text1"/>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课题负责人需以研究报告形式提交结项成果，字数不少于1.5万字。</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20"/>
        <w:textAlignment w:val="auto"/>
        <w:rPr>
          <w:color w:val="000000" w:themeColor="text1"/>
          <w14:textFill>
            <w14:solidFill>
              <w14:schemeClr w14:val="tx1"/>
            </w14:solidFill>
          </w14:textFill>
        </w:rPr>
      </w:pPr>
      <w:r>
        <w:rPr>
          <w:rStyle w:val="6"/>
          <w:color w:val="000000" w:themeColor="text1"/>
          <w:sz w:val="24"/>
          <w:szCs w:val="24"/>
          <w14:textFill>
            <w14:solidFill>
              <w14:schemeClr w14:val="tx1"/>
            </w14:solidFill>
          </w14:textFill>
        </w:rPr>
        <w:t>（二）成果摘要</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left"/>
        <w:textAlignment w:val="auto"/>
        <w:rPr>
          <w:color w:val="000000" w:themeColor="text1"/>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课题负责人需提供结项成果摘要，字数不少于3000字。</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2" w:firstLineChars="200"/>
        <w:textAlignment w:val="auto"/>
        <w:rPr>
          <w:color w:val="000000" w:themeColor="text1"/>
          <w14:textFill>
            <w14:solidFill>
              <w14:schemeClr w14:val="tx1"/>
            </w14:solidFill>
          </w14:textFill>
        </w:rPr>
      </w:pPr>
      <w:r>
        <w:rPr>
          <w:rStyle w:val="6"/>
          <w:color w:val="000000" w:themeColor="text1"/>
          <w:sz w:val="24"/>
          <w:szCs w:val="24"/>
          <w14:textFill>
            <w14:solidFill>
              <w14:schemeClr w14:val="tx1"/>
            </w14:solidFill>
          </w14:textFill>
        </w:rPr>
        <w:t>七、</w:t>
      </w:r>
      <w:r>
        <w:rPr>
          <w:rStyle w:val="6"/>
          <w:rFonts w:hint="eastAsia"/>
          <w:color w:val="000000" w:themeColor="text1"/>
          <w:sz w:val="24"/>
          <w:szCs w:val="24"/>
          <w:lang w:val="en-US" w:eastAsia="zh-CN"/>
          <w14:textFill>
            <w14:solidFill>
              <w14:schemeClr w14:val="tx1"/>
            </w14:solidFill>
          </w14:textFill>
        </w:rPr>
        <w:t>申报</w:t>
      </w:r>
      <w:r>
        <w:rPr>
          <w:rStyle w:val="6"/>
          <w:color w:val="000000" w:themeColor="text1"/>
          <w:sz w:val="24"/>
          <w:szCs w:val="24"/>
          <w14:textFill>
            <w14:solidFill>
              <w14:schemeClr w14:val="tx1"/>
            </w14:solidFill>
          </w14:textFill>
        </w:rPr>
        <w:t>时间和方式</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left"/>
        <w:textAlignment w:val="auto"/>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本次申报采取网上申报方式，申请人可登录文化和旅游宏观决策课题与优秀研究成果管理系统(http://221.239.119.24:8088/xmsb/indexAction!to_index.action)下载课题《申报书》及活页，按照系统提示和要求填写后，于3月7日前上传至申报系统，无需报送纸质申报材料。届时学校将进行申报规范初审，如有问题将从系统中退回修改，请申报人随时关注系统信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Style w:val="6"/>
          <w:rFonts w:hint="eastAsia" w:ascii="宋体" w:hAnsi="宋体" w:eastAsia="宋体" w:cs="宋体"/>
          <w:b w:val="0"/>
          <w:bCs/>
          <w:caps w:val="0"/>
          <w:color w:val="333333"/>
          <w:spacing w:val="0"/>
          <w:sz w:val="24"/>
          <w:szCs w:val="24"/>
          <w:shd w:val="clear" w:fill="FFFFFF"/>
        </w:rPr>
      </w:pPr>
      <w:r>
        <w:rPr>
          <w:rFonts w:hint="eastAsia"/>
          <w:lang w:val="en-US" w:eastAsia="zh-CN"/>
        </w:rPr>
        <w:t xml:space="preserve">    </w:t>
      </w:r>
      <w:r>
        <w:rPr>
          <w:rStyle w:val="6"/>
          <w:rFonts w:hint="eastAsia" w:ascii="宋体" w:hAnsi="宋体" w:eastAsia="宋体" w:cs="宋体"/>
          <w:b w:val="0"/>
          <w:bCs/>
          <w:caps w:val="0"/>
          <w:color w:val="333333"/>
          <w:spacing w:val="0"/>
          <w:sz w:val="24"/>
          <w:szCs w:val="24"/>
          <w:shd w:val="clear" w:fill="FFFFFF"/>
        </w:rPr>
        <w:t>联系人：刘云溪、黄鉴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Verdana" w:hAnsi="Verdana" w:eastAsia="Verdana" w:cs="Verdana"/>
          <w:b w:val="0"/>
          <w:bCs/>
          <w:caps w:val="0"/>
          <w:color w:val="333333"/>
          <w:spacing w:val="0"/>
          <w:sz w:val="21"/>
          <w:szCs w:val="21"/>
        </w:rPr>
      </w:pPr>
      <w:r>
        <w:rPr>
          <w:rStyle w:val="6"/>
          <w:rFonts w:hint="eastAsia" w:ascii="宋体" w:hAnsi="宋体" w:eastAsia="宋体" w:cs="宋体"/>
          <w:b w:val="0"/>
          <w:bCs/>
          <w:caps w:val="0"/>
          <w:color w:val="333333"/>
          <w:spacing w:val="0"/>
          <w:sz w:val="24"/>
          <w:szCs w:val="24"/>
          <w:shd w:val="clear" w:fill="FFFFFF"/>
        </w:rPr>
        <w:t>联系方式：51278537、51278077或企业微信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default" w:ascii="Verdana" w:hAnsi="Verdana" w:eastAsia="Verdana" w:cs="Verdana"/>
          <w:b w:val="0"/>
          <w:bCs/>
          <w:caps w:val="0"/>
          <w:color w:val="333333"/>
          <w:spacing w:val="0"/>
          <w:sz w:val="21"/>
          <w:szCs w:val="21"/>
        </w:rPr>
      </w:pPr>
      <w:r>
        <w:rPr>
          <w:rFonts w:hint="default" w:ascii="Verdana" w:hAnsi="Verdana" w:eastAsia="Verdana" w:cs="Verdana"/>
          <w:b w:val="0"/>
          <w:bCs/>
          <w:caps w:val="0"/>
          <w:color w:val="333333"/>
          <w:spacing w:val="0"/>
          <w:sz w:val="24"/>
          <w:szCs w:val="24"/>
          <w:shd w:val="clear" w:fill="FFFFFF"/>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default" w:ascii="Verdana" w:hAnsi="Verdana" w:eastAsia="Verdana" w:cs="Verdana"/>
          <w:b w:val="0"/>
          <w:bCs/>
          <w:caps w:val="0"/>
          <w:color w:val="333333"/>
          <w:spacing w:val="0"/>
          <w:sz w:val="21"/>
          <w:szCs w:val="21"/>
        </w:rPr>
      </w:pPr>
      <w:r>
        <w:rPr>
          <w:rStyle w:val="6"/>
          <w:rFonts w:hint="eastAsia" w:ascii="宋体" w:hAnsi="宋体" w:eastAsia="宋体" w:cs="宋体"/>
          <w:b w:val="0"/>
          <w:bCs/>
          <w:caps w:val="0"/>
          <w:color w:val="333333"/>
          <w:spacing w:val="0"/>
          <w:sz w:val="24"/>
          <w:szCs w:val="24"/>
          <w:shd w:val="clear" w:fill="FFFFFF"/>
          <w:lang w:val="en-US" w:eastAsia="zh-CN"/>
        </w:rPr>
        <w:t xml:space="preserve">                                                     </w:t>
      </w:r>
      <w:r>
        <w:rPr>
          <w:rStyle w:val="6"/>
          <w:rFonts w:hint="eastAsia" w:ascii="宋体" w:hAnsi="宋体" w:eastAsia="宋体" w:cs="宋体"/>
          <w:b w:val="0"/>
          <w:bCs/>
          <w:caps w:val="0"/>
          <w:color w:val="333333"/>
          <w:spacing w:val="0"/>
          <w:sz w:val="24"/>
          <w:szCs w:val="24"/>
          <w:shd w:val="clear" w:fill="FFFFFF"/>
        </w:rPr>
        <w:t>科研处  </w:t>
      </w:r>
    </w:p>
    <w:p>
      <w:pPr>
        <w:rPr>
          <w:rFonts w:hint="default" w:eastAsiaTheme="minorEastAsia"/>
          <w:lang w:val="en-US" w:eastAsia="zh-CN"/>
        </w:rPr>
      </w:pPr>
      <w:r>
        <w:rPr>
          <w:rStyle w:val="6"/>
          <w:rFonts w:hint="eastAsia" w:ascii="宋体" w:hAnsi="宋体" w:eastAsia="宋体" w:cs="宋体"/>
          <w:b w:val="0"/>
          <w:bCs/>
          <w:caps w:val="0"/>
          <w:color w:val="333333"/>
          <w:spacing w:val="0"/>
          <w:sz w:val="24"/>
          <w:szCs w:val="24"/>
          <w:shd w:val="clear" w:fill="FFFFFF"/>
          <w:lang w:val="en-US" w:eastAsia="zh-CN"/>
        </w:rPr>
        <w:t xml:space="preserve">                                                   </w:t>
      </w:r>
      <w:r>
        <w:rPr>
          <w:rStyle w:val="6"/>
          <w:rFonts w:hint="eastAsia" w:ascii="宋体" w:hAnsi="宋体" w:eastAsia="宋体" w:cs="宋体"/>
          <w:b w:val="0"/>
          <w:bCs/>
          <w:caps w:val="0"/>
          <w:color w:val="333333"/>
          <w:spacing w:val="0"/>
          <w:sz w:val="24"/>
          <w:szCs w:val="24"/>
          <w:shd w:val="clear" w:fill="FFFFFF"/>
        </w:rPr>
        <w:t>202</w:t>
      </w:r>
      <w:r>
        <w:rPr>
          <w:rStyle w:val="6"/>
          <w:rFonts w:hint="eastAsia" w:ascii="宋体" w:hAnsi="宋体" w:eastAsia="宋体" w:cs="宋体"/>
          <w:b w:val="0"/>
          <w:bCs/>
          <w:caps w:val="0"/>
          <w:color w:val="333333"/>
          <w:spacing w:val="0"/>
          <w:sz w:val="24"/>
          <w:szCs w:val="24"/>
          <w:shd w:val="clear" w:fill="FFFFFF"/>
          <w:lang w:val="en-US" w:eastAsia="zh-CN"/>
        </w:rPr>
        <w:t>5</w:t>
      </w:r>
      <w:r>
        <w:rPr>
          <w:rStyle w:val="6"/>
          <w:rFonts w:hint="eastAsia" w:ascii="宋体" w:hAnsi="宋体" w:eastAsia="宋体" w:cs="宋体"/>
          <w:b w:val="0"/>
          <w:bCs/>
          <w:caps w:val="0"/>
          <w:color w:val="333333"/>
          <w:spacing w:val="0"/>
          <w:sz w:val="24"/>
          <w:szCs w:val="24"/>
          <w:shd w:val="clear" w:fill="FFFFFF"/>
        </w:rPr>
        <w:t>年</w:t>
      </w:r>
      <w:r>
        <w:rPr>
          <w:rStyle w:val="6"/>
          <w:rFonts w:hint="eastAsia" w:ascii="宋体" w:hAnsi="宋体" w:eastAsia="宋体" w:cs="宋体"/>
          <w:b w:val="0"/>
          <w:bCs/>
          <w:caps w:val="0"/>
          <w:color w:val="333333"/>
          <w:spacing w:val="0"/>
          <w:sz w:val="24"/>
          <w:szCs w:val="24"/>
          <w:shd w:val="clear" w:fill="FFFFFF"/>
          <w:lang w:val="en-US" w:eastAsia="zh-CN"/>
        </w:rPr>
        <w:t>2</w:t>
      </w:r>
      <w:r>
        <w:rPr>
          <w:rStyle w:val="6"/>
          <w:rFonts w:hint="eastAsia" w:ascii="宋体" w:hAnsi="宋体" w:eastAsia="宋体" w:cs="宋体"/>
          <w:b w:val="0"/>
          <w:bCs/>
          <w:caps w:val="0"/>
          <w:color w:val="333333"/>
          <w:spacing w:val="0"/>
          <w:sz w:val="24"/>
          <w:szCs w:val="24"/>
          <w:shd w:val="clear" w:fill="FFFFFF"/>
        </w:rPr>
        <w:t>月2</w:t>
      </w:r>
      <w:r>
        <w:rPr>
          <w:rStyle w:val="6"/>
          <w:rFonts w:hint="eastAsia" w:ascii="宋体" w:hAnsi="宋体" w:eastAsia="宋体" w:cs="宋体"/>
          <w:b w:val="0"/>
          <w:bCs/>
          <w:caps w:val="0"/>
          <w:color w:val="333333"/>
          <w:spacing w:val="0"/>
          <w:sz w:val="24"/>
          <w:szCs w:val="24"/>
          <w:shd w:val="clear" w:fill="FFFFFF"/>
          <w:lang w:val="en-US" w:eastAsia="zh-CN"/>
        </w:rPr>
        <w:t>8</w:t>
      </w:r>
      <w:r>
        <w:rPr>
          <w:rStyle w:val="6"/>
          <w:rFonts w:hint="eastAsia" w:ascii="宋体" w:hAnsi="宋体" w:eastAsia="宋体" w:cs="宋体"/>
          <w:b w:val="0"/>
          <w:bCs/>
          <w:caps w:val="0"/>
          <w:color w:val="333333"/>
          <w:spacing w:val="0"/>
          <w:sz w:val="24"/>
          <w:szCs w:val="24"/>
          <w:shd w:val="clear" w:fill="FFFFFF"/>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5ZGNlMmMwNzQzYzMwZWNlNTQ5YzJhMmUwNTgxOGIifQ=="/>
  </w:docVars>
  <w:rsids>
    <w:rsidRoot w:val="00000000"/>
    <w:rsid w:val="7EEA27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2025-02-28T06:26:15Z</dcterms:created>
  <dc:creator>hp-3</dc:creator>
  <cp:lastModifiedBy>WPS_9981</cp:lastModifiedBy>
  <dcterms:modified xsi:type="dcterms:W3CDTF">2025-02-28T07:35:54Z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8A30539D399D4BBD828D4A7E32708ECA</vt:lpwstr>
  </property>
</Properties>
</file>