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b/>
          <w:bCs/>
          <w:color w:val="auto"/>
          <w:kern w:val="2"/>
          <w:sz w:val="28"/>
          <w:szCs w:val="28"/>
          <w:lang w:val="en-US" w:eastAsia="zh-CN" w:bidi="ar-SA"/>
        </w:rPr>
      </w:pPr>
      <w:r>
        <w:rPr>
          <w:rFonts w:hint="eastAsia" w:ascii="华文中宋" w:hAnsi="华文中宋" w:eastAsia="华文中宋" w:cs="华文中宋"/>
          <w:b/>
          <w:bCs/>
          <w:color w:val="auto"/>
          <w:kern w:val="2"/>
          <w:sz w:val="36"/>
          <w:szCs w:val="36"/>
          <w:lang w:val="en-US" w:eastAsia="zh-CN" w:bidi="ar-SA"/>
        </w:rPr>
        <w:t>2023年学校科研项目选题参考指南</w:t>
      </w:r>
    </w:p>
    <w:p>
      <w:pPr>
        <w:spacing w:line="360" w:lineRule="auto"/>
        <w:ind w:left="502" w:hanging="441" w:hangingChars="157"/>
        <w:rPr>
          <w:rFonts w:hint="eastAsia" w:ascii="黑体" w:hAnsi="黑体" w:eastAsia="黑体" w:cs="黑体"/>
          <w:b/>
          <w:bCs/>
          <w:color w:val="auto"/>
          <w:kern w:val="2"/>
          <w:sz w:val="28"/>
          <w:szCs w:val="28"/>
          <w:lang w:val="en-US" w:eastAsia="zh-CN" w:bidi="ar-SA"/>
        </w:rPr>
      </w:pPr>
      <w:r>
        <w:rPr>
          <w:rFonts w:hint="eastAsia" w:ascii="黑体" w:hAnsi="黑体" w:eastAsia="黑体" w:cs="黑体"/>
          <w:b/>
          <w:bCs/>
          <w:color w:val="auto"/>
          <w:kern w:val="2"/>
          <w:sz w:val="28"/>
          <w:szCs w:val="28"/>
          <w:lang w:val="en-US" w:eastAsia="zh-CN" w:bidi="ar-SA"/>
        </w:rPr>
        <w:t>（一）习近平新时代中国特色社会主义思想和党的二十大精神研究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 xml:space="preserve">1．习近平新时代中国特色社会主义思想的世界观和方法论研究 </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2．习近平新时代中国特色社会主义思想话语体系研究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3.习近平总书记关于新时代学校思想政治理论课的重要论述研究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4.习近平总书记关于劳动观的重要论述研究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习近平关于教育重要论述的思想内涵与贯彻路径研究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习近平关于全面依法治国的重要论述研究</w:t>
      </w:r>
    </w:p>
    <w:p>
      <w:pPr>
        <w:spacing w:line="360" w:lineRule="auto"/>
        <w:ind w:left="502" w:hanging="439" w:hangingChars="157"/>
        <w:rPr>
          <w:rFonts w:hint="default"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7．开辟马克思主义中国化时代化新境界的基本原则和路径方法研究</w:t>
      </w:r>
    </w:p>
    <w:p>
      <w:pPr>
        <w:spacing w:line="360" w:lineRule="auto"/>
        <w:ind w:left="502" w:hanging="439" w:hangingChars="157"/>
        <w:rPr>
          <w:rFonts w:hint="default"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8．以中国式现代化全面推进中华民族伟大复兴的理论与实践研究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9．中国式现代化的科学内涵、本质要求和实现路径研究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 xml:space="preserve">10．以“两个结合”继续推进马克思主义中国化时代化研究 </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11．马克思主义与中华优秀传统文化相结合的原理、方法和路径研究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12．“三个务必”的价值意蕴与实践要求研究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13．新时代中国共产党推进理论创新的理论和实践逻辑研究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14．中国式现代化建设中坚持改革开放的目标与重点任务研究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 xml:space="preserve">15．在高质量发展中促进共同富裕的制度设计研究 </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16．实现第二个百年奋斗目标新的赶考之路上需防范的重大风险研究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 xml:space="preserve">17．数字时代马克思主义理论创新与传播研究 </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 xml:space="preserve">18．弘扬以伟大建党精神为源头的中国共产党人精神谱系研究 </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19．以党的自我革命引领社会革命研究</w:t>
      </w:r>
    </w:p>
    <w:p>
      <w:pPr>
        <w:spacing w:line="360" w:lineRule="auto"/>
        <w:ind w:left="502" w:hanging="441" w:hangingChars="157"/>
        <w:rPr>
          <w:rFonts w:hint="default" w:ascii="黑体" w:hAnsi="黑体" w:eastAsia="黑体" w:cs="黑体"/>
          <w:b/>
          <w:bCs/>
          <w:color w:val="auto"/>
          <w:kern w:val="2"/>
          <w:sz w:val="28"/>
          <w:szCs w:val="28"/>
          <w:lang w:val="en-US" w:eastAsia="zh-CN" w:bidi="ar-SA"/>
        </w:rPr>
      </w:pPr>
      <w:r>
        <w:rPr>
          <w:rFonts w:hint="eastAsia" w:ascii="黑体" w:hAnsi="黑体" w:eastAsia="黑体" w:cs="黑体"/>
          <w:b/>
          <w:bCs/>
          <w:color w:val="auto"/>
          <w:kern w:val="2"/>
          <w:sz w:val="28"/>
          <w:szCs w:val="28"/>
          <w:lang w:val="en-US" w:eastAsia="zh-CN" w:bidi="ar-SA"/>
        </w:rPr>
        <w:t>（二）马克思主义、科学社会主义、党史、党建问题研究</w:t>
      </w:r>
    </w:p>
    <w:p>
      <w:pPr>
        <w:spacing w:line="360" w:lineRule="auto"/>
        <w:ind w:left="502" w:hanging="439" w:hangingChars="157"/>
        <w:rPr>
          <w:rFonts w:hint="eastAsia" w:ascii="仿宋" w:hAnsi="仿宋" w:eastAsia="仿宋" w:cs="仿宋"/>
          <w:color w:val="auto"/>
          <w:kern w:val="2"/>
          <w:sz w:val="28"/>
          <w:szCs w:val="28"/>
          <w:lang w:val="en-US" w:eastAsia="zh-CN" w:bidi="ar-SA"/>
        </w:rPr>
      </w:pP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20.新时代思想政治教育理论创新研究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21.新时代青年国家安全意识教育研究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22.信息时代高校意识形态安全研究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23.中国共产党领导高等教育基本经验研究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24.中国共产党百年奋进历程的基本经验研究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25.中国共产党百年历程与中华民族伟大复兴研究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26.中国共产党调查研究制度化研究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27.完善党领导经济社会发展的体制机制研究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28.</w:t>
      </w:r>
      <w:r>
        <w:rPr>
          <w:rFonts w:hint="eastAsia" w:ascii="仿宋" w:hAnsi="仿宋" w:eastAsia="仿宋" w:cs="仿宋"/>
          <w:color w:val="auto"/>
          <w:sz w:val="28"/>
          <w:szCs w:val="28"/>
        </w:rPr>
        <w:t>中国共产党队伍建设</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对外传播与影响力研究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29.</w:t>
      </w:r>
      <w:r>
        <w:rPr>
          <w:rFonts w:hint="eastAsia" w:ascii="仿宋" w:hAnsi="仿宋" w:eastAsia="仿宋" w:cs="仿宋"/>
          <w:color w:val="auto"/>
          <w:sz w:val="28"/>
          <w:szCs w:val="28"/>
        </w:rPr>
        <w:t>科学社会主义在中国的理论与实践发展研究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30.新时代提高全党的马克思主义理论水平研究</w:t>
      </w:r>
    </w:p>
    <w:p>
      <w:pPr>
        <w:spacing w:line="360" w:lineRule="auto"/>
        <w:ind w:left="502" w:hanging="439" w:hangingChars="157"/>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31.加强中国共产党防范化解重大风险和应急处突能力建设研究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32.</w:t>
      </w:r>
      <w:r>
        <w:rPr>
          <w:rFonts w:hint="eastAsia" w:ascii="仿宋" w:hAnsi="仿宋" w:eastAsia="仿宋" w:cs="仿宋"/>
          <w:color w:val="auto"/>
          <w:sz w:val="28"/>
          <w:szCs w:val="28"/>
        </w:rPr>
        <w:t>当代中国道德观念史与道德实践史研究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33.</w:t>
      </w:r>
      <w:r>
        <w:rPr>
          <w:rFonts w:hint="eastAsia" w:ascii="仿宋" w:hAnsi="仿宋" w:eastAsia="仿宋" w:cs="仿宋"/>
          <w:color w:val="auto"/>
          <w:sz w:val="28"/>
          <w:szCs w:val="28"/>
        </w:rPr>
        <w:t>新时代艺术发展而引发的重要美学问题研究</w:t>
      </w:r>
    </w:p>
    <w:p>
      <w:pPr>
        <w:spacing w:line="360" w:lineRule="auto"/>
        <w:ind w:left="502" w:hanging="441" w:hangingChars="157"/>
        <w:rPr>
          <w:rFonts w:hint="default" w:ascii="黑体" w:hAnsi="黑体" w:eastAsia="黑体" w:cs="黑体"/>
          <w:b/>
          <w:bCs/>
          <w:color w:val="auto"/>
          <w:kern w:val="2"/>
          <w:sz w:val="28"/>
          <w:szCs w:val="28"/>
          <w:lang w:val="en-US" w:eastAsia="zh-CN" w:bidi="ar-SA"/>
        </w:rPr>
      </w:pPr>
      <w:r>
        <w:rPr>
          <w:rFonts w:hint="eastAsia" w:ascii="黑体" w:hAnsi="黑体" w:eastAsia="黑体" w:cs="黑体"/>
          <w:b/>
          <w:bCs/>
          <w:color w:val="auto"/>
          <w:kern w:val="2"/>
          <w:sz w:val="28"/>
          <w:szCs w:val="28"/>
          <w:lang w:val="en-US" w:eastAsia="zh-CN" w:bidi="ar-SA"/>
        </w:rPr>
        <w:t>（三）教育科学及学校、师生发展问题研究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34.面向我市重点产业链的地方本科院校产教融合协同育人模式与机制研究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35.基于上海区域优秀传统文化传承的高校美育实践路径研究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36.新时代上海老年教育评价体系构建研究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37.上海市地方高校学科专业体系优化和动态布局战略研究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38.高校线上考试在大规模水平性考试中的应用研究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39.服务上海“四大功能，五个中心建设”，全面提升我市高校科技创新能力研究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40.新时代上海市高等学校科学技术与学科专业发展策略研究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41.高质量发展背景下上海高等教育财政支出与人才吸引力研究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42.上海市高校创新创业激励政策研究</w:t>
      </w:r>
    </w:p>
    <w:p>
      <w:pPr>
        <w:pStyle w:val="9"/>
        <w:numPr>
          <w:ilvl w:val="0"/>
          <w:numId w:val="0"/>
        </w:numPr>
        <w:ind w:leftChars="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43.高校大学生志愿服务 ——高质量、特色化的实践研究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44.习近平新时代理论经济学学科的人才培养方式研究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45.信息化2.0时代信息技术与教育教学创新融合的研究与实践</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46.面向学生终身学习能力培养的线上线下融合式教学模式研究与实践</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47.独立学院毕业生就业质量保障体系研究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48.提高独立学院毕业生就业率问题研究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49.提高独立学院新生报到率问题研究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50.独立学院校园文化与文明校园建设研究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51.分类评价背景下独立学院的办学效益提升研究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52.国际视野下上海技术应用型院校特色.品牌建设问题研究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53.分类评价背景下上海技术应用型院校教育质量保障体系研究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54.环境艺术设计专业产教融合问题及对策研究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55.“一带一路”背景下地方高校中外合作办学项目质量评估研究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56.“以赛促教，以赛促学”模式下教学质量保障与提升机制问题研究</w:t>
      </w:r>
    </w:p>
    <w:p>
      <w:pPr>
        <w:pStyle w:val="9"/>
        <w:numPr>
          <w:ilvl w:val="0"/>
          <w:numId w:val="0"/>
        </w:numPr>
        <w:pBdr>
          <w:between w:val="none" w:color="auto" w:sz="0" w:space="0"/>
        </w:pBd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57.</w:t>
      </w:r>
      <w:r>
        <w:rPr>
          <w:rFonts w:hint="eastAsia" w:ascii="仿宋" w:hAnsi="仿宋" w:eastAsia="仿宋" w:cs="仿宋"/>
          <w:color w:val="auto"/>
          <w:sz w:val="28"/>
          <w:szCs w:val="28"/>
        </w:rPr>
        <w:t>“专家治校</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教授治学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名师执教</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服务育人”的管理模式研究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58.</w:t>
      </w:r>
      <w:r>
        <w:rPr>
          <w:rFonts w:hint="eastAsia" w:ascii="仿宋" w:hAnsi="仿宋" w:eastAsia="仿宋" w:cs="仿宋"/>
          <w:color w:val="auto"/>
          <w:sz w:val="28"/>
          <w:szCs w:val="28"/>
        </w:rPr>
        <w:t>独立学院全人教育理念问题研究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59.高校学生管理的科学化、法制化研究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60.新时代大学生劳动教育研究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61.高校培育时代新人创新机制和路径方法研究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62.社会主议核心价值观引领知识、素质教育长效机制研究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63.新时代大学生增强做中国人的志气、骨气、底气研究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64.校园文化资源在大学生思想政治教育中的作用研究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65.“五育并举”背景下高校培养学生优良学风路径与方法研究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66.高校辅导员队伍建设有效激励机制研究</w:t>
      </w:r>
    </w:p>
    <w:p>
      <w:pPr>
        <w:pStyle w:val="9"/>
        <w:numPr>
          <w:ilvl w:val="0"/>
          <w:numId w:val="0"/>
        </w:numPr>
        <w:ind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67.落实高校分类评价工作，促进高校高质量发展研究</w:t>
      </w:r>
    </w:p>
    <w:p>
      <w:pPr>
        <w:pStyle w:val="9"/>
        <w:numPr>
          <w:ilvl w:val="0"/>
          <w:numId w:val="0"/>
        </w:numPr>
        <w:ind w:leftChars="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68.规范高校学科建设管理，提升学科与学位点建设水平研究</w:t>
      </w:r>
    </w:p>
    <w:p>
      <w:pPr>
        <w:numPr>
          <w:ilvl w:val="0"/>
          <w:numId w:val="0"/>
        </w:numPr>
        <w:rPr>
          <w:rFonts w:hint="eastAsia" w:ascii="黑体" w:hAnsi="黑体" w:eastAsia="黑体" w:cs="黑体"/>
          <w:b/>
          <w:color w:val="auto"/>
          <w:sz w:val="28"/>
          <w:szCs w:val="28"/>
          <w:lang w:val="en-US" w:eastAsia="zh-CN"/>
        </w:rPr>
      </w:pPr>
      <w:r>
        <w:rPr>
          <w:rFonts w:hint="eastAsia" w:ascii="黑体" w:hAnsi="黑体" w:eastAsia="黑体" w:cs="黑体"/>
          <w:b/>
          <w:color w:val="auto"/>
          <w:sz w:val="28"/>
          <w:szCs w:val="28"/>
          <w:lang w:val="en-US" w:eastAsia="zh-CN"/>
        </w:rPr>
        <w:t>（四）文学、新闻、体育、经济、管理，以及</w:t>
      </w:r>
      <w:r>
        <w:rPr>
          <w:rFonts w:hint="eastAsia" w:ascii="黑体" w:hAnsi="黑体" w:eastAsia="黑体" w:cs="黑体"/>
          <w:b/>
          <w:color w:val="auto"/>
          <w:sz w:val="28"/>
          <w:szCs w:val="28"/>
        </w:rPr>
        <w:t>服务</w:t>
      </w:r>
      <w:r>
        <w:rPr>
          <w:rFonts w:hint="eastAsia" w:ascii="黑体" w:hAnsi="黑体" w:eastAsia="黑体" w:cs="黑体"/>
          <w:b/>
          <w:color w:val="auto"/>
          <w:sz w:val="28"/>
          <w:szCs w:val="28"/>
          <w:lang w:val="en-US" w:eastAsia="zh-CN"/>
        </w:rPr>
        <w:t>国家发展战略、</w:t>
      </w:r>
      <w:r>
        <w:rPr>
          <w:rFonts w:hint="eastAsia" w:ascii="黑体" w:hAnsi="黑体" w:eastAsia="黑体" w:cs="黑体"/>
          <w:b/>
          <w:color w:val="auto"/>
          <w:sz w:val="28"/>
          <w:szCs w:val="28"/>
        </w:rPr>
        <w:t>地方经济社会发展问题</w:t>
      </w:r>
      <w:r>
        <w:rPr>
          <w:rFonts w:hint="eastAsia" w:ascii="黑体" w:hAnsi="黑体" w:eastAsia="黑体" w:cs="黑体"/>
          <w:b/>
          <w:color w:val="auto"/>
          <w:sz w:val="28"/>
          <w:szCs w:val="28"/>
          <w:lang w:val="en-US" w:eastAsia="zh-CN"/>
        </w:rPr>
        <w:t>研究</w:t>
      </w:r>
    </w:p>
    <w:p>
      <w:pPr>
        <w:numPr>
          <w:ilvl w:val="0"/>
          <w:numId w:val="0"/>
        </w:numPr>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69.中国特色经济学理论体系构建与结构研究</w:t>
      </w:r>
    </w:p>
    <w:p>
      <w:pPr>
        <w:numPr>
          <w:ilvl w:val="0"/>
          <w:numId w:val="0"/>
        </w:numPr>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70.数字经济和实体经济深度融合机制研究</w:t>
      </w:r>
    </w:p>
    <w:p>
      <w:pPr>
        <w:numPr>
          <w:ilvl w:val="0"/>
          <w:numId w:val="0"/>
        </w:numPr>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71.扩大内需的政策支撑体系研究</w:t>
      </w:r>
    </w:p>
    <w:p>
      <w:pPr>
        <w:numPr>
          <w:ilvl w:val="0"/>
          <w:numId w:val="0"/>
        </w:numPr>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72.在信息化和数字化背景下劳动力市场运行效率研究</w:t>
      </w:r>
    </w:p>
    <w:p>
      <w:pPr>
        <w:numPr>
          <w:ilvl w:val="0"/>
          <w:numId w:val="0"/>
        </w:numPr>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73.大数据方法与构建全国信息资源共享体系研究</w:t>
      </w:r>
    </w:p>
    <w:p>
      <w:pPr>
        <w:numPr>
          <w:ilvl w:val="0"/>
          <w:numId w:val="0"/>
        </w:numPr>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74.促进国内国际循环有效联动研究</w:t>
      </w:r>
    </w:p>
    <w:p>
      <w:pPr>
        <w:numPr>
          <w:ilvl w:val="0"/>
          <w:numId w:val="0"/>
        </w:numPr>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75.民营企业产权保护与民营经济发展的结构性问题研究</w:t>
      </w:r>
    </w:p>
    <w:p>
      <w:pPr>
        <w:numPr>
          <w:ilvl w:val="0"/>
          <w:numId w:val="0"/>
        </w:numPr>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76.教育.医疗和社会保障等领域的公共政策评估与助推机制研究</w:t>
      </w:r>
    </w:p>
    <w:p>
      <w:pPr>
        <w:numPr>
          <w:ilvl w:val="0"/>
          <w:numId w:val="0"/>
        </w:numPr>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77.数字货币背景下的支付清算体系转型研究</w:t>
      </w:r>
    </w:p>
    <w:p>
      <w:pPr>
        <w:numPr>
          <w:ilvl w:val="0"/>
          <w:numId w:val="0"/>
        </w:numPr>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78.区域贸易协定中公平竞争与中小企业保护的机制设计研究</w:t>
      </w:r>
    </w:p>
    <w:p>
      <w:pPr>
        <w:numPr>
          <w:ilvl w:val="0"/>
          <w:numId w:val="0"/>
        </w:numPr>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79.数字经济环境下的农村现代化和城乡融合研究</w:t>
      </w:r>
    </w:p>
    <w:p>
      <w:pPr>
        <w:numPr>
          <w:ilvl w:val="0"/>
          <w:numId w:val="0"/>
        </w:numPr>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80.“十四五”时期上海区域经济协调发展政策研究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81.健全预算绩效管理激励约束机制研究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82.要素流动与长三角一体化建设研究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83.旅游发展与居民幸福指数研究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84.长三角区域经济高质量发展研究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85.民营企业诚信体系建设问题研究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86.持续推进“放管服”改革研究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87.加强对预算编制的宏观指导研究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88.“十四五”时期国际经济新格局变化趋势研究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89.新发展格局下维护金融安全研究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90.旅游业高质量发展和创新的动能与路径研究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91.旅游诚信体系建设研究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92.灵活就业问题研究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93.全面依法治国的显著优势研究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94.全面依法治国的战略布局研究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95.民营企业合法权利的司法保障制度研究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96.构建新发展格局法治保障研究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97.中国法域外适用问题研究</w:t>
      </w:r>
    </w:p>
    <w:p>
      <w:pPr>
        <w:spacing w:line="360" w:lineRule="auto"/>
        <w:ind w:left="502" w:hanging="439" w:hangingChars="157"/>
        <w:rPr>
          <w:rFonts w:hint="default"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98.中国社会治理模式研究</w:t>
      </w:r>
    </w:p>
    <w:p>
      <w:pPr>
        <w:numPr>
          <w:ilvl w:val="0"/>
          <w:numId w:val="0"/>
        </w:numP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99.</w:t>
      </w:r>
      <w:r>
        <w:rPr>
          <w:rFonts w:hint="eastAsia" w:ascii="仿宋" w:hAnsi="仿宋" w:eastAsia="仿宋" w:cs="仿宋"/>
          <w:color w:val="auto"/>
          <w:sz w:val="28"/>
          <w:szCs w:val="28"/>
        </w:rPr>
        <w:t>现代信息技术驱动的长江经济带营商环境研究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100.</w:t>
      </w:r>
      <w:r>
        <w:rPr>
          <w:rFonts w:hint="eastAsia" w:ascii="仿宋" w:hAnsi="仿宋" w:eastAsia="仿宋" w:cs="仿宋"/>
          <w:color w:val="auto"/>
          <w:sz w:val="28"/>
          <w:szCs w:val="28"/>
        </w:rPr>
        <w:t>构建长江经济带具有国际竞争力的现代产业体系研究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101.</w:t>
      </w:r>
      <w:r>
        <w:rPr>
          <w:rFonts w:hint="eastAsia" w:ascii="仿宋" w:hAnsi="仿宋" w:eastAsia="仿宋" w:cs="仿宋"/>
          <w:color w:val="auto"/>
          <w:sz w:val="28"/>
          <w:szCs w:val="28"/>
        </w:rPr>
        <w:t>突发事件引发金融风险跨市场传染的干预对策研究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102.</w:t>
      </w:r>
      <w:r>
        <w:rPr>
          <w:rFonts w:hint="eastAsia" w:ascii="仿宋" w:hAnsi="仿宋" w:eastAsia="仿宋" w:cs="仿宋"/>
          <w:color w:val="auto"/>
          <w:sz w:val="28"/>
          <w:szCs w:val="28"/>
        </w:rPr>
        <w:t>后疫情背景下“双循环”推动上海经济高质量发展研究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103.</w:t>
      </w:r>
      <w:r>
        <w:rPr>
          <w:rFonts w:hint="eastAsia" w:ascii="仿宋" w:hAnsi="仿宋" w:eastAsia="仿宋" w:cs="仿宋"/>
          <w:color w:val="auto"/>
          <w:sz w:val="28"/>
          <w:szCs w:val="28"/>
        </w:rPr>
        <w:t>“长三角”地区养老服务协同供给机制研究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104.</w:t>
      </w:r>
      <w:r>
        <w:rPr>
          <w:rFonts w:hint="eastAsia" w:ascii="仿宋" w:hAnsi="仿宋" w:eastAsia="仿宋" w:cs="仿宋"/>
          <w:color w:val="auto"/>
          <w:sz w:val="28"/>
          <w:szCs w:val="28"/>
        </w:rPr>
        <w:t>技术应用型高校服务“一带一路”沿线国中国企业的对策研究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105.</w:t>
      </w:r>
      <w:r>
        <w:rPr>
          <w:rFonts w:hint="eastAsia" w:ascii="仿宋" w:hAnsi="仿宋" w:eastAsia="仿宋" w:cs="仿宋"/>
          <w:color w:val="auto"/>
          <w:sz w:val="28"/>
          <w:szCs w:val="28"/>
        </w:rPr>
        <w:t>基于大数据驱动的上海公共服务精准管理策略研究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106.</w:t>
      </w:r>
      <w:r>
        <w:rPr>
          <w:rFonts w:hint="eastAsia" w:ascii="仿宋" w:hAnsi="仿宋" w:eastAsia="仿宋" w:cs="仿宋"/>
          <w:color w:val="auto"/>
          <w:sz w:val="28"/>
          <w:szCs w:val="28"/>
        </w:rPr>
        <w:t>大数据</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人工智能背景下上海经济高质量发展的影响趋势及对策研究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107.</w:t>
      </w:r>
      <w:r>
        <w:rPr>
          <w:rFonts w:hint="eastAsia" w:ascii="仿宋" w:hAnsi="仿宋" w:eastAsia="仿宋" w:cs="仿宋"/>
          <w:color w:val="auto"/>
          <w:sz w:val="28"/>
          <w:szCs w:val="28"/>
        </w:rPr>
        <w:t>加快推进上海生态环境治理体系和治理能力现代化研究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108.</w:t>
      </w:r>
      <w:r>
        <w:rPr>
          <w:rFonts w:hint="eastAsia" w:ascii="仿宋" w:hAnsi="仿宋" w:eastAsia="仿宋" w:cs="仿宋"/>
          <w:color w:val="auto"/>
          <w:sz w:val="28"/>
          <w:szCs w:val="28"/>
        </w:rPr>
        <w:t>上海数字社会的法律治理体系与立法变革研究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109.</w:t>
      </w:r>
      <w:r>
        <w:rPr>
          <w:rFonts w:hint="eastAsia" w:ascii="仿宋" w:hAnsi="仿宋" w:eastAsia="仿宋" w:cs="仿宋"/>
          <w:color w:val="auto"/>
          <w:sz w:val="28"/>
          <w:szCs w:val="28"/>
        </w:rPr>
        <w:t>长江经济带流域生态保护与高质量发展法律制度体系研究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110.</w:t>
      </w:r>
      <w:r>
        <w:rPr>
          <w:rFonts w:hint="eastAsia" w:ascii="仿宋" w:hAnsi="仿宋" w:eastAsia="仿宋" w:cs="仿宋"/>
          <w:color w:val="auto"/>
          <w:sz w:val="28"/>
          <w:szCs w:val="28"/>
        </w:rPr>
        <w:t>突发重大公共卫生事件防控的法治体系研究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111.</w:t>
      </w:r>
      <w:r>
        <w:rPr>
          <w:rFonts w:hint="eastAsia" w:ascii="仿宋" w:hAnsi="仿宋" w:eastAsia="仿宋" w:cs="仿宋"/>
          <w:color w:val="auto"/>
          <w:sz w:val="28"/>
          <w:szCs w:val="28"/>
        </w:rPr>
        <w:t>中外戏剧经典的跨文化阐释与传播研究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112.</w:t>
      </w:r>
      <w:r>
        <w:rPr>
          <w:rFonts w:hint="eastAsia" w:ascii="仿宋" w:hAnsi="仿宋" w:eastAsia="仿宋" w:cs="仿宋"/>
          <w:color w:val="auto"/>
          <w:sz w:val="28"/>
          <w:szCs w:val="28"/>
        </w:rPr>
        <w:t>中国翻译理论发展史研究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113.</w:t>
      </w:r>
      <w:r>
        <w:rPr>
          <w:rFonts w:hint="eastAsia" w:ascii="仿宋" w:hAnsi="仿宋" w:eastAsia="仿宋" w:cs="仿宋"/>
          <w:color w:val="auto"/>
          <w:sz w:val="28"/>
          <w:szCs w:val="28"/>
        </w:rPr>
        <w:t>新时代媒体公信力研究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114.</w:t>
      </w:r>
      <w:r>
        <w:rPr>
          <w:rFonts w:hint="eastAsia" w:ascii="仿宋" w:hAnsi="仿宋" w:eastAsia="仿宋" w:cs="仿宋"/>
          <w:color w:val="auto"/>
          <w:sz w:val="28"/>
          <w:szCs w:val="28"/>
        </w:rPr>
        <w:t>数字新闻学理论</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方法与实践研究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115.</w:t>
      </w:r>
      <w:r>
        <w:rPr>
          <w:rFonts w:hint="eastAsia" w:ascii="仿宋" w:hAnsi="仿宋" w:eastAsia="仿宋" w:cs="仿宋"/>
          <w:color w:val="auto"/>
          <w:sz w:val="28"/>
          <w:szCs w:val="28"/>
        </w:rPr>
        <w:t>上海城市音乐文化软实力研究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116.</w:t>
      </w:r>
      <w:r>
        <w:rPr>
          <w:rFonts w:hint="eastAsia" w:ascii="仿宋" w:hAnsi="仿宋" w:eastAsia="仿宋" w:cs="仿宋"/>
          <w:color w:val="auto"/>
          <w:sz w:val="28"/>
          <w:szCs w:val="28"/>
        </w:rPr>
        <w:t>数字化变革</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上海流通渠道创新和经济增长模式转变研究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117.</w:t>
      </w:r>
      <w:r>
        <w:rPr>
          <w:rFonts w:hint="eastAsia" w:ascii="仿宋" w:hAnsi="仿宋" w:eastAsia="仿宋" w:cs="仿宋"/>
          <w:color w:val="auto"/>
          <w:sz w:val="28"/>
          <w:szCs w:val="28"/>
        </w:rPr>
        <w:t>上海人口老龄化对经济增长的影响路径与政策选择研究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118.</w:t>
      </w:r>
      <w:r>
        <w:rPr>
          <w:rFonts w:hint="eastAsia" w:ascii="仿宋" w:hAnsi="仿宋" w:eastAsia="仿宋" w:cs="仿宋"/>
          <w:color w:val="auto"/>
          <w:sz w:val="28"/>
          <w:szCs w:val="28"/>
        </w:rPr>
        <w:t>上海各级地方政府债务与金融稳定性研究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119.</w:t>
      </w:r>
      <w:r>
        <w:rPr>
          <w:rFonts w:hint="eastAsia" w:ascii="仿宋" w:hAnsi="仿宋" w:eastAsia="仿宋" w:cs="仿宋"/>
          <w:color w:val="auto"/>
          <w:sz w:val="28"/>
          <w:szCs w:val="28"/>
        </w:rPr>
        <w:t>环境目标约束下的上海崇明区产业高质量发展研究</w:t>
      </w:r>
    </w:p>
    <w:p>
      <w:pPr>
        <w:pStyle w:val="9"/>
        <w:numPr>
          <w:ilvl w:val="0"/>
          <w:numId w:val="0"/>
        </w:numPr>
        <w:ind w:leftChars="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120.</w:t>
      </w:r>
      <w:r>
        <w:rPr>
          <w:rFonts w:hint="eastAsia" w:ascii="仿宋" w:hAnsi="仿宋" w:eastAsia="仿宋" w:cs="仿宋"/>
          <w:color w:val="auto"/>
          <w:sz w:val="28"/>
          <w:szCs w:val="28"/>
        </w:rPr>
        <w:t>贸易壁垒下上海突破性创新政策体系建构研究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121.“一带一路”沿线国家文学中的中国书写研究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122.当代西方马克思主义文艺理论研究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123.数字人文与外国文学研究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124.比较文学跨文化的新范式研究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125.翻译理论研究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126.全球化语境下的“世界文学”研究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127.经典文学思潮流派研究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128.地方文艺中方言使用的现状及对策研究</w:t>
      </w:r>
    </w:p>
    <w:p>
      <w:pPr>
        <w:pStyle w:val="9"/>
        <w:numPr>
          <w:ilvl w:val="0"/>
          <w:numId w:val="0"/>
        </w:numPr>
        <w:ind w:leftChars="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129.英汉学术话语体系对比研究</w:t>
      </w:r>
    </w:p>
    <w:p>
      <w:pPr>
        <w:pStyle w:val="9"/>
        <w:numPr>
          <w:ilvl w:val="0"/>
          <w:numId w:val="0"/>
        </w:numPr>
        <w:ind w:leftChars="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130.大中小学外语教育衔接研究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131.海外华语传承传播路径研究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132.面向汉语国际教育的语言文字研究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133.建构主流意识形态认同的机制研究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134.红色文化网络传播研究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135.中国共产党百年新闻史研究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136.5G时代把控主流舆论方略研究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137.新时代融媒体对外传播研究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138.计算广告的营销模式和传播效果研究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139.智能营销传播的现状与趋势研究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140.中华体育精神研究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141.中国体育文化全球化研究</w:t>
      </w:r>
    </w:p>
    <w:p>
      <w:pPr>
        <w:spacing w:line="360" w:lineRule="auto"/>
        <w:ind w:left="502" w:hanging="439" w:hangingChars="157"/>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142.新时代“体教融合”发展研究</w:t>
      </w:r>
    </w:p>
    <w:p>
      <w:pPr>
        <w:spacing w:line="360" w:lineRule="auto"/>
        <w:ind w:left="502" w:hanging="439" w:hangingChars="157"/>
        <w:rPr>
          <w:rFonts w:hint="default"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143.新时代体育发展方式研究</w:t>
      </w:r>
    </w:p>
    <w:p>
      <w:pPr>
        <w:rPr>
          <w:rFonts w:hint="eastAsia" w:ascii="黑体" w:hAnsi="黑体" w:eastAsia="黑体" w:cs="黑体"/>
          <w:b/>
          <w:color w:val="auto"/>
          <w:sz w:val="28"/>
          <w:szCs w:val="28"/>
          <w:lang w:val="en-US" w:eastAsia="zh-CN"/>
        </w:rPr>
      </w:pPr>
      <w:r>
        <w:rPr>
          <w:rFonts w:hint="eastAsia" w:ascii="黑体" w:hAnsi="黑体" w:eastAsia="黑体" w:cs="黑体"/>
          <w:b/>
          <w:color w:val="auto"/>
          <w:sz w:val="28"/>
          <w:szCs w:val="28"/>
          <w:lang w:eastAsia="zh-CN"/>
        </w:rPr>
        <w:t>（</w:t>
      </w:r>
      <w:r>
        <w:rPr>
          <w:rFonts w:hint="eastAsia" w:ascii="黑体" w:hAnsi="黑体" w:eastAsia="黑体" w:cs="黑体"/>
          <w:b/>
          <w:color w:val="auto"/>
          <w:sz w:val="28"/>
          <w:szCs w:val="28"/>
          <w:lang w:val="en-US" w:eastAsia="zh-CN"/>
        </w:rPr>
        <w:t>五）</w:t>
      </w:r>
      <w:r>
        <w:rPr>
          <w:rFonts w:hint="eastAsia" w:ascii="黑体" w:hAnsi="黑体" w:eastAsia="黑体" w:cs="黑体"/>
          <w:b/>
          <w:color w:val="auto"/>
          <w:sz w:val="28"/>
          <w:szCs w:val="28"/>
        </w:rPr>
        <w:t>自主选题</w:t>
      </w:r>
      <w:r>
        <w:rPr>
          <w:rFonts w:hint="eastAsia" w:ascii="黑体" w:hAnsi="黑体" w:eastAsia="黑体" w:cs="黑体"/>
          <w:b/>
          <w:color w:val="auto"/>
          <w:sz w:val="28"/>
          <w:szCs w:val="28"/>
          <w:lang w:val="en-US" w:eastAsia="zh-CN"/>
        </w:rPr>
        <w:t>研究</w:t>
      </w:r>
    </w:p>
    <w:p>
      <w:pPr>
        <w:rPr>
          <w:rFonts w:hint="eastAsia" w:ascii="仿宋" w:hAnsi="仿宋" w:eastAsia="仿宋" w:cs="仿宋"/>
          <w:sz w:val="28"/>
          <w:szCs w:val="28"/>
        </w:rPr>
      </w:pPr>
      <w:r>
        <w:rPr>
          <w:rFonts w:hint="eastAsia" w:ascii="仿宋" w:hAnsi="仿宋" w:eastAsia="仿宋" w:cs="仿宋"/>
          <w:color w:val="auto"/>
          <w:sz w:val="28"/>
          <w:szCs w:val="28"/>
        </w:rPr>
        <w:t>各位老师</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研究人员</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辅导员可以</w:t>
      </w:r>
      <w:r>
        <w:rPr>
          <w:rFonts w:hint="eastAsia" w:ascii="仿宋" w:hAnsi="仿宋" w:eastAsia="仿宋" w:cs="仿宋"/>
          <w:color w:val="auto"/>
          <w:sz w:val="28"/>
          <w:szCs w:val="28"/>
        </w:rPr>
        <w:t>结合个人的研究基础和特长选择自己学科专业领域最新热点问题申报立项，或延续</w:t>
      </w:r>
      <w:r>
        <w:rPr>
          <w:rFonts w:hint="eastAsia" w:ascii="仿宋" w:hAnsi="仿宋" w:eastAsia="仿宋" w:cs="仿宋"/>
          <w:sz w:val="28"/>
          <w:szCs w:val="28"/>
        </w:rPr>
        <w:t>有价值的硕博论文深化研究。</w:t>
      </w:r>
      <w:bookmarkStart w:id="0" w:name="_GoBack"/>
      <w:bookmarkEnd w:id="0"/>
    </w:p>
    <w:p>
      <w:pPr>
        <w:rPr>
          <w:rFonts w:hint="default" w:ascii="仿宋" w:hAnsi="仿宋" w:eastAsia="仿宋" w:cs="仿宋"/>
          <w:b/>
          <w:bCs/>
          <w:sz w:val="28"/>
          <w:szCs w:val="28"/>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NiZDNhZWEzMzQ3ZWU5ODkxYTEyNjdlZjkwOWRlNzgifQ=="/>
  </w:docVars>
  <w:rsids>
    <w:rsidRoot w:val="00CA30B7"/>
    <w:rsid w:val="000437DF"/>
    <w:rsid w:val="00096162"/>
    <w:rsid w:val="000C66D2"/>
    <w:rsid w:val="000D558B"/>
    <w:rsid w:val="000F1A54"/>
    <w:rsid w:val="0010029F"/>
    <w:rsid w:val="00170000"/>
    <w:rsid w:val="002526A9"/>
    <w:rsid w:val="00261578"/>
    <w:rsid w:val="002C0CD8"/>
    <w:rsid w:val="00310A43"/>
    <w:rsid w:val="00352F29"/>
    <w:rsid w:val="00374262"/>
    <w:rsid w:val="003831E7"/>
    <w:rsid w:val="00447821"/>
    <w:rsid w:val="00475A19"/>
    <w:rsid w:val="004B6A36"/>
    <w:rsid w:val="00530F7E"/>
    <w:rsid w:val="00657BAE"/>
    <w:rsid w:val="00672F00"/>
    <w:rsid w:val="006E64FB"/>
    <w:rsid w:val="007A20BC"/>
    <w:rsid w:val="007F6DB4"/>
    <w:rsid w:val="008143CB"/>
    <w:rsid w:val="008366DB"/>
    <w:rsid w:val="0086339C"/>
    <w:rsid w:val="00882619"/>
    <w:rsid w:val="00893D32"/>
    <w:rsid w:val="00935B7F"/>
    <w:rsid w:val="00A065F3"/>
    <w:rsid w:val="00A1674F"/>
    <w:rsid w:val="00A23F99"/>
    <w:rsid w:val="00A50238"/>
    <w:rsid w:val="00A94DF0"/>
    <w:rsid w:val="00B86463"/>
    <w:rsid w:val="00BB69CA"/>
    <w:rsid w:val="00BD0DC3"/>
    <w:rsid w:val="00BF351A"/>
    <w:rsid w:val="00BF5E84"/>
    <w:rsid w:val="00C5178A"/>
    <w:rsid w:val="00CA30B7"/>
    <w:rsid w:val="00CD4026"/>
    <w:rsid w:val="00CD71D4"/>
    <w:rsid w:val="00CE65C1"/>
    <w:rsid w:val="00D13A6B"/>
    <w:rsid w:val="00E138D3"/>
    <w:rsid w:val="00E47F24"/>
    <w:rsid w:val="00EC4AC0"/>
    <w:rsid w:val="00EF1C3A"/>
    <w:rsid w:val="00EF3DCA"/>
    <w:rsid w:val="00FA61F4"/>
    <w:rsid w:val="00FD2DDF"/>
    <w:rsid w:val="00FE0937"/>
    <w:rsid w:val="06267047"/>
    <w:rsid w:val="0D9E20F9"/>
    <w:rsid w:val="0E3A41D5"/>
    <w:rsid w:val="15B4486D"/>
    <w:rsid w:val="1B5746EF"/>
    <w:rsid w:val="1D632B5E"/>
    <w:rsid w:val="211803A6"/>
    <w:rsid w:val="22994863"/>
    <w:rsid w:val="2A9F5C13"/>
    <w:rsid w:val="30B11C7D"/>
    <w:rsid w:val="30EA3353"/>
    <w:rsid w:val="34D60B24"/>
    <w:rsid w:val="37CE0C3D"/>
    <w:rsid w:val="3F361C2B"/>
    <w:rsid w:val="402A2C4F"/>
    <w:rsid w:val="44D10568"/>
    <w:rsid w:val="4D3D691B"/>
    <w:rsid w:val="56382FBB"/>
    <w:rsid w:val="62C8280A"/>
    <w:rsid w:val="72A03324"/>
    <w:rsid w:val="73711916"/>
    <w:rsid w:val="7533222E"/>
    <w:rsid w:val="76214BD7"/>
    <w:rsid w:val="76F43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napToGrid w:val="0"/>
      <w:spacing w:after="240"/>
      <w:jc w:val="center"/>
      <w:outlineLvl w:val="0"/>
    </w:pPr>
    <w:rPr>
      <w:rFonts w:ascii="Calibri" w:hAnsi="Calibri" w:eastAsia="华文中宋" w:cs="宋体"/>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381A9-5C27-4E5B-83B0-9B1E2AD43134}">
  <ds:schemaRefs/>
</ds:datastoreItem>
</file>

<file path=docProps/app.xml><?xml version="1.0" encoding="utf-8"?>
<Properties xmlns="http://schemas.openxmlformats.org/officeDocument/2006/extended-properties" xmlns:vt="http://schemas.openxmlformats.org/officeDocument/2006/docPropsVTypes">
  <Template>Normal</Template>
  <Pages>7</Pages>
  <Words>2603</Words>
  <Characters>2873</Characters>
  <Lines>7</Lines>
  <Paragraphs>1</Paragraphs>
  <TotalTime>11</TotalTime>
  <ScaleCrop>false</ScaleCrop>
  <LinksUpToDate>false</LinksUpToDate>
  <CharactersWithSpaces>2874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2020-11-22T00:26:00Z</dcterms:created>
  <dc:creator>kyc</dc:creator>
  <cp:lastModifiedBy>kyc</cp:lastModifiedBy>
  <dcterms:modified xsi:type="dcterms:W3CDTF">2023-01-16T07:36:51Z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DE285B5DB794429F88F71E97E7A3EADB</vt:lpwstr>
  </property>
</Properties>
</file>