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2B5C">
      <w:pPr>
        <w:spacing w:line="600" w:lineRule="exact"/>
        <w:ind w:firstLine="720" w:firstLineChars="200"/>
        <w:jc w:val="center"/>
        <w:rPr>
          <w:rFonts w:eastAsia="华文中宋"/>
          <w:sz w:val="36"/>
          <w:szCs w:val="36"/>
        </w:rPr>
      </w:pPr>
    </w:p>
    <w:p w14:paraId="234456DE">
      <w:pPr>
        <w:spacing w:line="600" w:lineRule="exact"/>
        <w:jc w:val="center"/>
        <w:rPr>
          <w:rFonts w:ascii="方正小标宋简体" w:hAnsi="方正小标宋简体" w:eastAsia="方正小标宋简体" w:cs="方正小标宋简体"/>
          <w:bCs/>
          <w:sz w:val="44"/>
          <w:szCs w:val="44"/>
        </w:rPr>
      </w:pPr>
      <w:bookmarkStart w:id="7" w:name="_GoBack"/>
      <w:r>
        <w:rPr>
          <w:rFonts w:hint="eastAsia" w:ascii="方正小标宋简体" w:hAnsi="方正小标宋简体" w:eastAsia="方正小标宋简体" w:cs="方正小标宋简体"/>
          <w:bCs/>
          <w:sz w:val="44"/>
          <w:szCs w:val="44"/>
        </w:rPr>
        <w:t>上海市市级部门项目支出核心绩效目标和指标设置及取值指引（试行）</w:t>
      </w:r>
      <w:bookmarkEnd w:id="7"/>
    </w:p>
    <w:p w14:paraId="2DD012A0">
      <w:pPr>
        <w:spacing w:line="600" w:lineRule="exact"/>
        <w:jc w:val="center"/>
        <w:rPr>
          <w:rFonts w:eastAsia="仿宋_GB2312"/>
          <w:sz w:val="32"/>
          <w:szCs w:val="32"/>
        </w:rPr>
      </w:pPr>
    </w:p>
    <w:p w14:paraId="26B66856">
      <w:pPr>
        <w:spacing w:line="600" w:lineRule="exact"/>
        <w:ind w:firstLine="640" w:firstLineChars="200"/>
        <w:rPr>
          <w:rFonts w:eastAsia="仿宋_GB2312"/>
          <w:sz w:val="32"/>
          <w:szCs w:val="32"/>
        </w:rPr>
      </w:pPr>
      <w:r>
        <w:rPr>
          <w:rFonts w:hint="eastAsia" w:eastAsia="仿宋_GB2312"/>
          <w:sz w:val="32"/>
          <w:szCs w:val="32"/>
        </w:rPr>
        <w:t>为提升市级部门项目支出绩效目标编制质量，推动加强和改进绩效监控、绩效自评工作，根据财政部《中央部门项目支出核心绩效目标和指标设置及取值指引（试行）》《上海市财政项目支出预算绩效管理办法（试行）》相关规定，制定本指引。</w:t>
      </w:r>
    </w:p>
    <w:p w14:paraId="50111E02">
      <w:pPr>
        <w:numPr>
          <w:ilvl w:val="0"/>
          <w:numId w:val="1"/>
        </w:num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绩效目标及指标设置思路和原则</w:t>
      </w:r>
    </w:p>
    <w:p w14:paraId="1F90D3A4">
      <w:pPr>
        <w:spacing w:line="600" w:lineRule="exact"/>
        <w:ind w:firstLine="640" w:firstLineChars="200"/>
        <w:rPr>
          <w:rFonts w:eastAsia="仿宋_GB2312"/>
          <w:sz w:val="32"/>
          <w:szCs w:val="32"/>
        </w:rPr>
      </w:pPr>
      <w:r>
        <w:rPr>
          <w:rFonts w:hint="eastAsia" w:eastAsia="仿宋_GB2312"/>
          <w:sz w:val="32"/>
          <w:szCs w:val="32"/>
        </w:rPr>
        <w:t>本指引所指项目支出绩效目标，是指市级部门依据部门职责和事业发展要求设立并通过预算安排的项目支出，在一定期限内预期达到的产出和效果以及相应的成本控制要求。</w:t>
      </w:r>
    </w:p>
    <w:p w14:paraId="5FF69EA2">
      <w:pPr>
        <w:spacing w:line="600" w:lineRule="exact"/>
        <w:ind w:firstLine="640" w:firstLineChars="200"/>
        <w:rPr>
          <w:rFonts w:ascii="楷体_GB2312" w:hAnsi="楷体_GB2312" w:eastAsia="楷体_GB2312" w:cs="楷体_GB2312"/>
          <w:b/>
          <w:bCs/>
          <w:sz w:val="32"/>
          <w:szCs w:val="32"/>
        </w:rPr>
      </w:pPr>
      <w:r>
        <w:rPr>
          <w:rFonts w:hint="eastAsia" w:eastAsia="仿宋_GB2312"/>
          <w:sz w:val="32"/>
          <w:szCs w:val="32"/>
        </w:rPr>
        <w:t>绩效目标通过具体绩效指标予以细化、量化描述。设置绩效目标遵循确定项目总目标并逐步分解的方式，确保不同层级的绩效目标和指标相互衔接、协调配套。</w:t>
      </w:r>
    </w:p>
    <w:p w14:paraId="2010E842">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（一）绩效指标设置思路</w:t>
      </w:r>
    </w:p>
    <w:p w14:paraId="2D1878FD">
      <w:pPr>
        <w:widowControl/>
        <w:shd w:val="clear" w:color="auto" w:fill="FFFFFF"/>
        <w:spacing w:line="480" w:lineRule="atLeast"/>
        <w:ind w:firstLine="480"/>
        <w:rPr>
          <w:rFonts w:eastAsia="仿宋_GB2312"/>
          <w:sz w:val="32"/>
          <w:szCs w:val="32"/>
        </w:rPr>
      </w:pPr>
      <w:r>
        <w:rPr>
          <w:rFonts w:hint="eastAsia" w:eastAsia="仿宋_GB2312"/>
          <w:sz w:val="32"/>
          <w:szCs w:val="32"/>
        </w:rPr>
        <w:t>1.确定项目绩效目标。根据有关中长期工作规划、项目实施方案等，特别是与项目立项直接相关的依据文件，分析重点工作任务、需要解决的主要问题和相关财政支出的政策意图，研究明确项目总目标。项目总目标，即总任务、总产出、总效益等。对于实施期超过一年的项目，需分别设定项目总目标和年度总体目标；对于实施期不超过一年的项目，仅需设置年度总体目标。</w:t>
      </w:r>
    </w:p>
    <w:p w14:paraId="028BA4E3">
      <w:pPr>
        <w:widowControl/>
        <w:shd w:val="clear" w:color="auto" w:fill="FFFFFF"/>
        <w:spacing w:line="480" w:lineRule="atLeast"/>
        <w:ind w:firstLine="480"/>
        <w:rPr>
          <w:rFonts w:eastAsia="仿宋_GB2312"/>
          <w:sz w:val="32"/>
          <w:szCs w:val="32"/>
        </w:rPr>
      </w:pPr>
      <w:r>
        <w:rPr>
          <w:rFonts w:hint="eastAsia" w:eastAsia="仿宋_GB2312"/>
          <w:sz w:val="32"/>
          <w:szCs w:val="32"/>
        </w:rPr>
        <w:t>2.分解细化指标。将总目标分解成多个子目标，细化任务清单。根据任务内容，分析投入资源、开展活动、质量标准、成本要求、产出内容、产生效果，设置绩效指标。</w:t>
      </w:r>
    </w:p>
    <w:p w14:paraId="23D74A40">
      <w:pPr>
        <w:widowControl/>
        <w:shd w:val="clear" w:color="auto" w:fill="FFFFFF"/>
        <w:spacing w:line="480" w:lineRule="atLeast"/>
        <w:ind w:firstLine="480"/>
        <w:rPr>
          <w:rFonts w:eastAsia="仿宋_GB2312"/>
          <w:sz w:val="32"/>
          <w:szCs w:val="32"/>
        </w:rPr>
      </w:pPr>
      <w:r>
        <w:rPr>
          <w:rFonts w:hint="eastAsia" w:eastAsia="仿宋_GB2312"/>
          <w:sz w:val="32"/>
          <w:szCs w:val="32"/>
        </w:rPr>
        <w:t>3.设置指标值。绩效指标选定后，应参考相关历史数据、行业标准、计划标准等，科学设定指标值。指标值的设定应充分借鉴预算绩效管理成果，在考虑可实现性的基础上，尽量从严、从高设定，充分发挥绩效目标对预算编制执行的引导约束和控制作用。避免选用难以确定具体指标值、标准不明确或缺乏约束力的指标。</w:t>
      </w:r>
    </w:p>
    <w:p w14:paraId="1B8C2C79">
      <w:pPr>
        <w:widowControl/>
        <w:shd w:val="clear" w:color="auto" w:fill="FFFFFF"/>
        <w:spacing w:line="480" w:lineRule="atLeast"/>
        <w:ind w:firstLine="480"/>
        <w:rPr>
          <w:rFonts w:eastAsia="仿宋_GB2312"/>
          <w:sz w:val="32"/>
          <w:szCs w:val="32"/>
        </w:rPr>
      </w:pPr>
      <w:r>
        <w:rPr>
          <w:rFonts w:hint="eastAsia" w:eastAsia="仿宋_GB2312"/>
          <w:sz w:val="32"/>
          <w:szCs w:val="32"/>
        </w:rPr>
        <w:t>4.加强指标衔接。强化一级项目绩效目标的统领性，一级项目均需编制绩效目标；部门可根据管理需要，在二级或三级项目设置绩效目标，对一级项目绩效目标细化和具体化。加强项目不同层级之间绩效目标和指标的有机衔接，确保任务相互匹配、指标逻辑对应、数据相互支撑。</w:t>
      </w:r>
    </w:p>
    <w:p w14:paraId="084CB917">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（二）绩效指标设置原则</w:t>
      </w:r>
    </w:p>
    <w:p w14:paraId="769F8611">
      <w:pPr>
        <w:spacing w:line="600" w:lineRule="exact"/>
        <w:ind w:firstLine="640" w:firstLineChars="200"/>
        <w:rPr>
          <w:rFonts w:eastAsia="仿宋_GB2312"/>
          <w:sz w:val="32"/>
          <w:szCs w:val="32"/>
        </w:rPr>
      </w:pPr>
      <w:r>
        <w:rPr>
          <w:rFonts w:hint="eastAsia" w:eastAsia="仿宋_GB2312"/>
          <w:sz w:val="32"/>
          <w:szCs w:val="32"/>
        </w:rPr>
        <w:t>1.高度关联。绩效指标应指向明确，与支出方向、政策依据相关联，与部门职责及其事业发展规划相关，与总体绩效目标的内容直接关联。不应设置如常规性的项目管理要求等与产出、效益和成本明显无关联的指标。</w:t>
      </w:r>
    </w:p>
    <w:p w14:paraId="688CF299">
      <w:pPr>
        <w:spacing w:line="600" w:lineRule="exact"/>
        <w:ind w:firstLine="640" w:firstLineChars="200"/>
        <w:rPr>
          <w:rFonts w:eastAsia="仿宋_GB2312"/>
          <w:sz w:val="32"/>
          <w:szCs w:val="32"/>
        </w:rPr>
      </w:pPr>
      <w:r>
        <w:rPr>
          <w:rFonts w:hint="eastAsia" w:eastAsia="仿宋_GB2312"/>
          <w:sz w:val="32"/>
          <w:szCs w:val="32"/>
        </w:rPr>
        <w:t>2.重点突出。绩效指标应涵盖政策目标、支出方向主体内容，应选取能体现项目主要产出和核心效果的指标，突出重点。</w:t>
      </w:r>
    </w:p>
    <w:p w14:paraId="7216A99E">
      <w:pPr>
        <w:spacing w:line="600" w:lineRule="exact"/>
        <w:ind w:firstLine="640" w:firstLineChars="200"/>
        <w:rPr>
          <w:rFonts w:eastAsia="仿宋_GB2312"/>
          <w:sz w:val="32"/>
          <w:szCs w:val="32"/>
        </w:rPr>
      </w:pPr>
      <w:r>
        <w:rPr>
          <w:rFonts w:hint="eastAsia" w:eastAsia="仿宋_GB2312"/>
          <w:sz w:val="32"/>
          <w:szCs w:val="32"/>
        </w:rPr>
        <w:t>3.量化易评。绩效指标应细化、量化，具有明确的评价标准，绩效指标值一般对应已有统计数据，或在成本可控的前提下，通过统计、调查、评判等便于获取。确难以量化的，可采用定性表述，但应具有可衡量性，可使用分析评级（好、一般、差）的评价方式评判。</w:t>
      </w:r>
    </w:p>
    <w:p w14:paraId="4041608F">
      <w:pPr>
        <w:spacing w:line="600" w:lineRule="exact"/>
        <w:ind w:firstLine="640" w:firstLineChars="200"/>
        <w:rPr>
          <w:rFonts w:eastAsia="仿宋_GB2312"/>
          <w:sz w:val="32"/>
          <w:szCs w:val="32"/>
        </w:rPr>
      </w:pPr>
      <w:r>
        <w:rPr>
          <w:rFonts w:hint="eastAsia" w:ascii="黑体" w:hAnsi="黑体" w:eastAsia="黑体" w:cs="黑体"/>
          <w:sz w:val="32"/>
          <w:szCs w:val="32"/>
        </w:rPr>
        <w:t>二、绩效指标的类型和设置要求</w:t>
      </w:r>
    </w:p>
    <w:p w14:paraId="4271694E">
      <w:pPr>
        <w:spacing w:line="600" w:lineRule="exact"/>
        <w:ind w:firstLine="640" w:firstLineChars="200"/>
        <w:rPr>
          <w:rFonts w:eastAsia="仿宋_GB2312"/>
          <w:sz w:val="32"/>
          <w:szCs w:val="32"/>
        </w:rPr>
      </w:pPr>
      <w:r>
        <w:rPr>
          <w:rFonts w:hint="eastAsia" w:eastAsia="仿宋_GB2312"/>
          <w:sz w:val="32"/>
          <w:szCs w:val="32"/>
        </w:rPr>
        <w:t>绩效指标包括成本指标、产出指标、效益指标和满意度指标四类一级指标。原则上每一项目均应设置成本指标、产出指标和效益指标。满意度指标根据实际需要选设。</w:t>
      </w:r>
    </w:p>
    <w:p w14:paraId="4B8DA75F">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（一）成本指标</w:t>
      </w:r>
    </w:p>
    <w:p w14:paraId="753619D5">
      <w:pPr>
        <w:spacing w:line="600" w:lineRule="exact"/>
        <w:ind w:firstLine="640" w:firstLineChars="200"/>
        <w:rPr>
          <w:rFonts w:eastAsia="仿宋_GB2312"/>
          <w:sz w:val="32"/>
          <w:szCs w:val="32"/>
        </w:rPr>
      </w:pPr>
      <w:r>
        <w:rPr>
          <w:rFonts w:hint="eastAsia" w:eastAsia="仿宋_GB2312"/>
          <w:sz w:val="32"/>
          <w:szCs w:val="32"/>
        </w:rPr>
        <w:t>为加强成本管理和成本控制，应当设置成本指标，以反映预期提供的公共产品或服务所产生的成本。项目支出首先要强化成本的概念，加强成本效益分析。成本指标原则上应按单位成本拆分核算，对单位成本无法拆分核算的任务，可设定分项成本控制数。对于具有负外部性的支出项目，还应选取负作用成本指标，体现相关活动对生态环境、社会公众福利等方面可能产生的负面影响，以综合衡量项目支出的整体效益。</w:t>
      </w:r>
    </w:p>
    <w:p w14:paraId="05C77092">
      <w:pPr>
        <w:spacing w:line="600" w:lineRule="exact"/>
        <w:ind w:firstLine="640" w:firstLineChars="200"/>
        <w:rPr>
          <w:rFonts w:eastAsia="仿宋_GB2312"/>
          <w:sz w:val="32"/>
          <w:szCs w:val="32"/>
        </w:rPr>
      </w:pPr>
      <w:r>
        <w:rPr>
          <w:rFonts w:hint="eastAsia" w:eastAsia="仿宋_GB2312"/>
          <w:sz w:val="32"/>
          <w:szCs w:val="32"/>
        </w:rPr>
        <w:t>成本指标包括经济成本指标、社会成本指标和生态环境成本指标等二级指标，分别反映项目实施产生的各方面成本的预期控制范围（设置路径和参考案例详见附件2）。</w:t>
      </w:r>
    </w:p>
    <w:p w14:paraId="440071AB">
      <w:pPr>
        <w:spacing w:line="600" w:lineRule="exact"/>
        <w:ind w:firstLine="640" w:firstLineChars="200"/>
        <w:rPr>
          <w:rFonts w:eastAsia="仿宋_GB2312"/>
          <w:sz w:val="32"/>
          <w:szCs w:val="32"/>
        </w:rPr>
      </w:pPr>
      <w:r>
        <w:rPr>
          <w:rFonts w:hint="eastAsia" w:eastAsia="仿宋_GB2312"/>
          <w:sz w:val="32"/>
          <w:szCs w:val="32"/>
        </w:rPr>
        <w:t>1.经济成本指标。反映实施相关项目所产生的直接经济成本。</w:t>
      </w:r>
    </w:p>
    <w:p w14:paraId="384A9133">
      <w:pPr>
        <w:spacing w:line="600" w:lineRule="exact"/>
        <w:ind w:firstLine="640" w:firstLineChars="200"/>
        <w:rPr>
          <w:rFonts w:eastAsia="仿宋_GB2312"/>
          <w:sz w:val="32"/>
          <w:szCs w:val="32"/>
        </w:rPr>
      </w:pPr>
      <w:r>
        <w:rPr>
          <w:rFonts w:hint="eastAsia" w:eastAsia="仿宋_GB2312"/>
          <w:sz w:val="32"/>
          <w:szCs w:val="32"/>
        </w:rPr>
        <w:t>2.社会成本指标。反映实施相关项目对社会发展、公共福利等方面可能造成的负面影响。</w:t>
      </w:r>
    </w:p>
    <w:p w14:paraId="017BD680">
      <w:pPr>
        <w:spacing w:line="600" w:lineRule="exact"/>
        <w:ind w:firstLine="640" w:firstLineChars="200"/>
        <w:rPr>
          <w:rFonts w:eastAsia="仿宋_GB2312"/>
          <w:sz w:val="32"/>
          <w:szCs w:val="32"/>
        </w:rPr>
      </w:pPr>
      <w:r>
        <w:rPr>
          <w:rFonts w:hint="eastAsia" w:eastAsia="仿宋_GB2312"/>
          <w:sz w:val="32"/>
          <w:szCs w:val="32"/>
        </w:rPr>
        <w:t>3.生态环境成本指标。反映实施相关项目对自然生态环境可能造成的负面影响。</w:t>
      </w:r>
    </w:p>
    <w:p w14:paraId="274B818A">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（二）产出指标</w:t>
      </w:r>
    </w:p>
    <w:p w14:paraId="7C6A064A">
      <w:pPr>
        <w:spacing w:line="600" w:lineRule="exact"/>
        <w:ind w:firstLine="640" w:firstLineChars="200"/>
        <w:rPr>
          <w:rFonts w:eastAsia="仿宋_GB2312"/>
          <w:sz w:val="32"/>
          <w:szCs w:val="32"/>
        </w:rPr>
      </w:pPr>
      <w:r>
        <w:rPr>
          <w:rFonts w:hint="eastAsia" w:eastAsia="仿宋_GB2312"/>
          <w:sz w:val="32"/>
          <w:szCs w:val="32"/>
        </w:rPr>
        <w:t>产出指标是对预期产出的描述，包括数量指标、质量指标、时效指标等二级指标。产出指标的设置应当与主要支出方向相对应，原则上不应存在重大缺项、漏项，不同对象和类别的产出指标应分别设置。其中数量指标和质量指标原则上均需设置，时效指标根据项目实际设置。</w:t>
      </w:r>
    </w:p>
    <w:p w14:paraId="4CF3A80E">
      <w:pPr>
        <w:spacing w:line="600" w:lineRule="exact"/>
        <w:ind w:firstLine="640" w:firstLineChars="200"/>
        <w:rPr>
          <w:rFonts w:eastAsia="仿宋_GB2312"/>
          <w:sz w:val="32"/>
          <w:szCs w:val="32"/>
        </w:rPr>
      </w:pPr>
      <w:r>
        <w:rPr>
          <w:rFonts w:hint="eastAsia" w:eastAsia="仿宋_GB2312"/>
          <w:sz w:val="32"/>
          <w:szCs w:val="32"/>
        </w:rPr>
        <w:t>1.数量指标。反映预期提供的公共产品或服务数量，应根据项目活动设定相应的指标内容。数量指标应突出重点，力求以较少的指标涵盖体现主要工作内容。如“药品抽验批次”“产业扶持项目数”等。</w:t>
      </w:r>
    </w:p>
    <w:p w14:paraId="3471C3AC">
      <w:pPr>
        <w:widowControl/>
        <w:shd w:val="clear" w:color="auto" w:fill="FFFFFF"/>
        <w:spacing w:line="600" w:lineRule="exact"/>
        <w:ind w:firstLine="640" w:firstLineChars="200"/>
        <w:rPr>
          <w:rFonts w:eastAsia="仿宋_GB2312"/>
          <w:sz w:val="32"/>
          <w:szCs w:val="32"/>
        </w:rPr>
      </w:pPr>
      <w:r>
        <w:rPr>
          <w:rFonts w:hint="eastAsia" w:eastAsia="仿宋_GB2312"/>
          <w:sz w:val="32"/>
          <w:szCs w:val="32"/>
        </w:rPr>
        <w:t>2.质量指标。反映预期提供的公共产品或服务达到的标准和水平。质量指标应细化设置，与效益指标、成本指标相匹配。如工程基建类、信息化建设类项目，可设置“设备故障率”“工程竣工验收合格率”等。</w:t>
      </w:r>
    </w:p>
    <w:p w14:paraId="192C18E9">
      <w:pPr>
        <w:spacing w:line="600" w:lineRule="exact"/>
        <w:ind w:firstLine="640" w:firstLineChars="200"/>
        <w:rPr>
          <w:rFonts w:eastAsia="仿宋_GB2312"/>
          <w:sz w:val="32"/>
          <w:szCs w:val="32"/>
        </w:rPr>
      </w:pPr>
      <w:r>
        <w:rPr>
          <w:rFonts w:hint="eastAsia" w:eastAsia="仿宋_GB2312"/>
          <w:sz w:val="32"/>
          <w:szCs w:val="32"/>
        </w:rPr>
        <w:t>3.时效指标。反映预期提供的公共产品或服务的及时程度和效率情况。设置时效指标，需确定整体完成时间。对于有时限完成要求、关键性时间节点明确的项目，还需要分解设置约束性时效指标；对于内容相对较多并且复杂的项目，可根据工作开展周期或频次设定相应指标，如“工程按时完工率”“助学金发放周期”等。</w:t>
      </w:r>
    </w:p>
    <w:p w14:paraId="69B63DAE">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（三）效益指标</w:t>
      </w:r>
    </w:p>
    <w:p w14:paraId="7F56B13E">
      <w:pPr>
        <w:spacing w:line="600" w:lineRule="exact"/>
        <w:ind w:firstLine="640" w:firstLineChars="200"/>
        <w:rPr>
          <w:rFonts w:eastAsia="仿宋_GB2312"/>
          <w:sz w:val="32"/>
          <w:szCs w:val="32"/>
        </w:rPr>
      </w:pPr>
      <w:r>
        <w:rPr>
          <w:rFonts w:hint="eastAsia" w:eastAsia="仿宋_GB2312"/>
          <w:sz w:val="32"/>
          <w:szCs w:val="32"/>
        </w:rPr>
        <w:t>效益指标是对预期效果的描述，包括经济效益指标、社会效益指标、生态效益指标、可持续影响指标等二级指标。</w:t>
      </w:r>
    </w:p>
    <w:p w14:paraId="68EF639A">
      <w:pPr>
        <w:spacing w:line="600" w:lineRule="exact"/>
        <w:ind w:firstLine="640" w:firstLineChars="200"/>
        <w:rPr>
          <w:rFonts w:eastAsia="仿宋_GB2312"/>
          <w:sz w:val="32"/>
          <w:szCs w:val="32"/>
        </w:rPr>
      </w:pPr>
      <w:r>
        <w:rPr>
          <w:rFonts w:hint="eastAsia" w:eastAsia="仿宋_GB2312"/>
          <w:sz w:val="32"/>
          <w:szCs w:val="32"/>
        </w:rPr>
        <w:t>1.经济效益指标。反映相关产出对经济效益带来的影响和效果，包括相关产出在当年及以后若干年持续形成的经济效益，以及自身创造的直接经济效益和引领行业带来的间接经济效益。如“产值增长率”“税收增长率”等。</w:t>
      </w:r>
    </w:p>
    <w:p w14:paraId="1203CC26">
      <w:pPr>
        <w:spacing w:line="600" w:lineRule="exact"/>
        <w:ind w:firstLine="640" w:firstLineChars="200"/>
        <w:rPr>
          <w:rFonts w:eastAsia="仿宋_GB2312"/>
          <w:sz w:val="32"/>
          <w:szCs w:val="32"/>
        </w:rPr>
      </w:pPr>
      <w:r>
        <w:rPr>
          <w:rFonts w:hint="eastAsia" w:eastAsia="仿宋_GB2312"/>
          <w:sz w:val="32"/>
          <w:szCs w:val="32"/>
        </w:rPr>
        <w:t>2.社会效益指标。反映相关产出对社会发展带来的影响和效果，用于体现项目实施当年及以后若干年在提升治理水平、落实国家政策、推动行业发展、服务民生大众、维持社会稳定、维护社会公平正义、提高履职或服务效率等方面的效益。如</w:t>
      </w:r>
      <w:bookmarkStart w:id="0" w:name="_Hlk171888906"/>
      <w:r>
        <w:rPr>
          <w:rFonts w:hint="eastAsia" w:eastAsia="仿宋_GB2312"/>
          <w:sz w:val="32"/>
          <w:szCs w:val="32"/>
        </w:rPr>
        <w:t>“带动就业增长率”</w:t>
      </w:r>
      <w:bookmarkEnd w:id="0"/>
      <w:r>
        <w:rPr>
          <w:rFonts w:hint="eastAsia" w:eastAsia="仿宋_GB2312"/>
          <w:sz w:val="32"/>
          <w:szCs w:val="32"/>
        </w:rPr>
        <w:t>“适龄儿童入学率”等。</w:t>
      </w:r>
    </w:p>
    <w:p w14:paraId="6F4392AE">
      <w:pPr>
        <w:spacing w:line="600" w:lineRule="exact"/>
        <w:ind w:firstLine="640" w:firstLineChars="200"/>
        <w:rPr>
          <w:rFonts w:eastAsia="仿宋_GB2312"/>
          <w:sz w:val="32"/>
          <w:szCs w:val="32"/>
        </w:rPr>
      </w:pPr>
      <w:r>
        <w:rPr>
          <w:rFonts w:hint="eastAsia" w:eastAsia="仿宋_GB2312"/>
          <w:sz w:val="32"/>
          <w:szCs w:val="32"/>
        </w:rPr>
        <w:t>3.生态效益指标。反映相关产出对自然生态环境带来的影响和效果，即对生产、生活条件和环境条件产生的有益影响和有利效果。包括相关产出在当年及以后若干年持续形成的生态效益。如 “绿化覆盖率”“空气质量优良率”等。</w:t>
      </w:r>
    </w:p>
    <w:p w14:paraId="4A12B547">
      <w:pPr>
        <w:spacing w:line="600" w:lineRule="exact"/>
        <w:ind w:firstLine="640" w:firstLineChars="200"/>
        <w:rPr>
          <w:rFonts w:eastAsia="仿宋_GB2312"/>
          <w:sz w:val="32"/>
          <w:szCs w:val="32"/>
        </w:rPr>
      </w:pPr>
      <w:r>
        <w:rPr>
          <w:rFonts w:hint="eastAsia" w:eastAsia="仿宋_GB2312"/>
          <w:sz w:val="32"/>
          <w:szCs w:val="32"/>
        </w:rPr>
        <w:t>4.可持续影响指标。反映相关产出带来影响的可持续期限。对于一些特定项目，应结合管理需要确定必设指标的限定要求。如工程基建类项目和大型修缮及购置项目，考虑使用期限，必须在相关指标中明确当年及以后一段时期内预期效益发挥情况。</w:t>
      </w:r>
    </w:p>
    <w:p w14:paraId="544CEEA2">
      <w:pPr>
        <w:spacing w:line="600" w:lineRule="exact"/>
        <w:ind w:firstLine="640" w:firstLineChars="200"/>
        <w:rPr>
          <w:rFonts w:eastAsia="仿宋_GB2312"/>
          <w:sz w:val="32"/>
          <w:szCs w:val="32"/>
        </w:rPr>
      </w:pPr>
      <w:r>
        <w:rPr>
          <w:rFonts w:hint="eastAsia" w:eastAsia="仿宋_GB2312"/>
          <w:sz w:val="32"/>
          <w:szCs w:val="32"/>
        </w:rPr>
        <w:t>对于具备条件的社会效益指标和生态效益指标，应尽可能通过科学合理的方式，在予以等量货币化反映的基础上，转列为经济效益指标，以便于进行成本效益分析比较。</w:t>
      </w:r>
    </w:p>
    <w:p w14:paraId="69349033">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（四）满意度指标</w:t>
      </w:r>
    </w:p>
    <w:p w14:paraId="6DED6C0C">
      <w:pPr>
        <w:spacing w:line="600" w:lineRule="exact"/>
        <w:ind w:firstLine="640" w:firstLineChars="200"/>
        <w:rPr>
          <w:rFonts w:eastAsia="仿宋_GB2312"/>
          <w:sz w:val="32"/>
          <w:szCs w:val="32"/>
        </w:rPr>
      </w:pPr>
      <w:r>
        <w:rPr>
          <w:rFonts w:hint="eastAsia" w:eastAsia="仿宋_GB2312"/>
          <w:sz w:val="32"/>
          <w:szCs w:val="32"/>
        </w:rPr>
        <w:t>满意度指标是对预期产出和效果的满意情况的描述，反映服务对象或项目受益人及其他相关群体的认可程度。对申报满意度指标的项目，在项目执行过程中应开展满意度调查或者其他收集满意度反馈的工作。如“展览观众满意度”“补贴对象满意度”等。</w:t>
      </w:r>
    </w:p>
    <w:p w14:paraId="4E909AB0">
      <w:pPr>
        <w:spacing w:line="600" w:lineRule="exact"/>
        <w:ind w:firstLine="640" w:firstLineChars="200"/>
        <w:rPr>
          <w:rFonts w:eastAsia="仿宋_GB2312"/>
          <w:sz w:val="32"/>
          <w:szCs w:val="32"/>
        </w:rPr>
      </w:pPr>
      <w:r>
        <w:rPr>
          <w:rFonts w:hint="eastAsia" w:eastAsia="仿宋_GB2312"/>
          <w:sz w:val="32"/>
          <w:szCs w:val="32"/>
        </w:rPr>
        <w:t>面向社会主体及公众提供公共服务，以及其他群众切身利益的项目支出的，应设置满意度指标。其他项目根据实际情况的需要设置。</w:t>
      </w:r>
    </w:p>
    <w:p w14:paraId="11027652">
      <w:pPr>
        <w:spacing w:line="600" w:lineRule="exact"/>
        <w:ind w:firstLine="640" w:firstLineChars="200"/>
        <w:rPr>
          <w:rFonts w:eastAsia="仿宋_GB2312"/>
          <w:sz w:val="32"/>
          <w:szCs w:val="32"/>
        </w:rPr>
      </w:pPr>
      <w:r>
        <w:rPr>
          <w:rFonts w:hint="eastAsia" w:ascii="黑体" w:hAnsi="黑体" w:eastAsia="黑体" w:cs="黑体"/>
          <w:sz w:val="32"/>
          <w:szCs w:val="32"/>
        </w:rPr>
        <w:t>三、绩效指标的具体编制</w:t>
      </w:r>
    </w:p>
    <w:p w14:paraId="1A3A3D4B">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（一）绩效指标名称及解释</w:t>
      </w:r>
    </w:p>
    <w:p w14:paraId="2B8D2B32">
      <w:pPr>
        <w:spacing w:line="600" w:lineRule="exact"/>
        <w:ind w:firstLine="640" w:firstLineChars="200"/>
        <w:rPr>
          <w:rFonts w:eastAsia="仿宋_GB2312"/>
          <w:sz w:val="32"/>
          <w:szCs w:val="32"/>
        </w:rPr>
      </w:pPr>
      <w:r>
        <w:rPr>
          <w:rFonts w:hint="eastAsia" w:eastAsia="仿宋_GB2312"/>
          <w:sz w:val="32"/>
          <w:szCs w:val="32"/>
        </w:rPr>
        <w:t>1.指标名称。指末级指标的名称，是对指标含义的简要描述，要求简洁明确、通俗易懂。如“房屋修缮面积”“设备更新改造数量”“验收合格率”等。</w:t>
      </w:r>
    </w:p>
    <w:p w14:paraId="14FE7BF5">
      <w:pPr>
        <w:spacing w:line="600" w:lineRule="exact"/>
        <w:ind w:firstLine="640" w:firstLineChars="200"/>
        <w:rPr>
          <w:rFonts w:eastAsia="仿宋_GB2312"/>
          <w:sz w:val="32"/>
          <w:szCs w:val="32"/>
        </w:rPr>
      </w:pPr>
      <w:r>
        <w:rPr>
          <w:rFonts w:hint="eastAsia" w:eastAsia="仿宋_GB2312"/>
          <w:sz w:val="32"/>
          <w:szCs w:val="32"/>
        </w:rPr>
        <w:t>2.指标解释。是对末级指标名称的概念性定义，反映该指标衡量的具体内容、计算方法和数据口径等。</w:t>
      </w:r>
    </w:p>
    <w:p w14:paraId="4A6C9C45">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（二）绩效指标来源</w:t>
      </w:r>
    </w:p>
    <w:p w14:paraId="468C14C4">
      <w:pPr>
        <w:spacing w:line="600" w:lineRule="exact"/>
        <w:ind w:firstLine="640" w:firstLineChars="200"/>
        <w:rPr>
          <w:rFonts w:eastAsia="仿宋_GB2312"/>
          <w:sz w:val="32"/>
          <w:szCs w:val="32"/>
        </w:rPr>
      </w:pPr>
      <w:r>
        <w:rPr>
          <w:rFonts w:hint="eastAsia" w:eastAsia="仿宋_GB2312"/>
          <w:sz w:val="32"/>
          <w:szCs w:val="32"/>
        </w:rPr>
        <w:t>1.政策文件。部门和单位可以从中央、市委、市政府或本部门在某一个领域明确制定的目标、规划、计划、工作要求中提炼绩效指标。此类指标主要是有明确的统计口径和获取规范，有较高数据质量和权威性。如国民经济和社会发展五年规划提出的经济社会发展主要指标、城镇调查失业率、每千人口拥有执业（助理）医师数等。</w:t>
      </w:r>
    </w:p>
    <w:p w14:paraId="7E581FF1">
      <w:pPr>
        <w:spacing w:line="600" w:lineRule="exact"/>
        <w:ind w:firstLine="640" w:firstLineChars="200"/>
        <w:rPr>
          <w:rFonts w:eastAsia="仿宋_GB2312"/>
          <w:sz w:val="32"/>
          <w:szCs w:val="32"/>
        </w:rPr>
      </w:pPr>
      <w:r>
        <w:rPr>
          <w:rFonts w:hint="eastAsia" w:eastAsia="仿宋_GB2312"/>
          <w:sz w:val="32"/>
          <w:szCs w:val="32"/>
        </w:rPr>
        <w:t>2.部门日常工作。主要包括：</w:t>
      </w:r>
    </w:p>
    <w:p w14:paraId="47464E41">
      <w:pPr>
        <w:spacing w:line="600" w:lineRule="exact"/>
        <w:ind w:firstLine="640" w:firstLineChars="200"/>
        <w:rPr>
          <w:rFonts w:eastAsia="仿宋_GB2312"/>
          <w:sz w:val="32"/>
          <w:szCs w:val="32"/>
        </w:rPr>
      </w:pPr>
      <w:r>
        <w:rPr>
          <w:rFonts w:hint="eastAsia" w:eastAsia="仿宋_GB2312"/>
          <w:sz w:val="32"/>
          <w:szCs w:val="32"/>
        </w:rPr>
        <w:t>（1）统计指标。此类指标在部门日常工作中约定俗成、经常使用，并且有统计数据支撑，可以作为绩效指标。如城镇登记失业率、人均可支配收入。</w:t>
      </w:r>
    </w:p>
    <w:p w14:paraId="7B484B5F">
      <w:pPr>
        <w:spacing w:line="600" w:lineRule="exact"/>
        <w:ind w:firstLine="640" w:firstLineChars="200"/>
        <w:rPr>
          <w:rFonts w:eastAsia="仿宋_GB2312"/>
          <w:sz w:val="32"/>
          <w:szCs w:val="32"/>
        </w:rPr>
      </w:pPr>
      <w:r>
        <w:rPr>
          <w:rFonts w:hint="eastAsia" w:eastAsia="仿宋_GB2312"/>
          <w:sz w:val="32"/>
          <w:szCs w:val="32"/>
        </w:rPr>
        <w:t>（2）部门管理（考核）指标。部门对下属单位、区、镇各类考核中明确的考核指标，可以作为绩效指标。如教育主管部门组织的对高校、学科、教师的考核评比等。</w:t>
      </w:r>
    </w:p>
    <w:p w14:paraId="226FF77F">
      <w:pPr>
        <w:spacing w:line="600" w:lineRule="exact"/>
        <w:ind w:firstLine="640" w:firstLineChars="200"/>
        <w:rPr>
          <w:rFonts w:eastAsia="仿宋_GB2312"/>
          <w:sz w:val="32"/>
          <w:szCs w:val="32"/>
        </w:rPr>
      </w:pPr>
      <w:r>
        <w:rPr>
          <w:rFonts w:hint="eastAsia" w:eastAsia="仿宋_GB2312"/>
          <w:sz w:val="32"/>
          <w:szCs w:val="32"/>
        </w:rPr>
        <w:t>（3）部门工作计划和项目实施方案。部门对实施项目的考虑和工作安排，经规范程序履行审批手续后，可以作为绩效指标。如开展调研次数、培训人次等。</w:t>
      </w:r>
    </w:p>
    <w:p w14:paraId="30F62D0E">
      <w:pPr>
        <w:spacing w:line="600" w:lineRule="exact"/>
        <w:ind w:firstLine="640" w:firstLineChars="200"/>
        <w:rPr>
          <w:rFonts w:eastAsia="仿宋_GB2312"/>
          <w:sz w:val="32"/>
          <w:szCs w:val="32"/>
        </w:rPr>
      </w:pPr>
      <w:r>
        <w:rPr>
          <w:rFonts w:hint="eastAsia" w:eastAsia="仿宋_GB2312"/>
          <w:sz w:val="32"/>
          <w:szCs w:val="32"/>
        </w:rPr>
        <w:t>3.社会机构评比、新闻媒体报道等。具有社会公信力的非政府组织、公益机构、新闻媒体等对公共服务质量和舆论情况等长期或不定期跟踪调查，形成的具有一定权威性和公认度的指标。如公众安全感指数、金融中心指数排名等。</w:t>
      </w:r>
    </w:p>
    <w:p w14:paraId="70A3399E">
      <w:pPr>
        <w:spacing w:line="600" w:lineRule="exact"/>
        <w:ind w:firstLine="640" w:firstLineChars="200"/>
        <w:rPr>
          <w:rFonts w:eastAsia="仿宋_GB2312"/>
          <w:sz w:val="32"/>
          <w:szCs w:val="32"/>
        </w:rPr>
      </w:pPr>
      <w:r>
        <w:rPr>
          <w:rFonts w:hint="eastAsia" w:eastAsia="仿宋_GB2312"/>
          <w:sz w:val="32"/>
          <w:szCs w:val="32"/>
        </w:rPr>
        <w:t>4.预算绩效管理成果参考指标。甄别使用开展事前绩效评估、预算评审、绩效评价、成本预算绩效分析等形成的指标，已纳入绩效指标库管理和应用的指标。</w:t>
      </w:r>
    </w:p>
    <w:p w14:paraId="4CE489BA">
      <w:pPr>
        <w:spacing w:line="600" w:lineRule="exact"/>
        <w:ind w:firstLine="640" w:firstLineChars="200"/>
        <w:rPr>
          <w:rFonts w:eastAsia="仿宋_GB2312"/>
          <w:sz w:val="32"/>
          <w:szCs w:val="32"/>
        </w:rPr>
      </w:pPr>
      <w:r>
        <w:rPr>
          <w:rFonts w:hint="eastAsia" w:eastAsia="仿宋_GB2312"/>
          <w:sz w:val="32"/>
          <w:szCs w:val="32"/>
        </w:rPr>
        <w:t>如按照上述来源难以获取适宜指标，部门应当根据工作需要，科学合理创设相关指标。可以立足管理实际，借鉴国内外绩效管理、学术研究、管理实践等经验，合理创设相关指标。</w:t>
      </w:r>
    </w:p>
    <w:p w14:paraId="2A88A572">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（三）绩效指标值设定依据</w:t>
      </w:r>
    </w:p>
    <w:p w14:paraId="593E4B41">
      <w:pPr>
        <w:spacing w:line="600" w:lineRule="exact"/>
        <w:ind w:firstLine="640" w:firstLineChars="200"/>
        <w:rPr>
          <w:rFonts w:eastAsia="仿宋_GB2312"/>
          <w:sz w:val="32"/>
          <w:szCs w:val="32"/>
        </w:rPr>
      </w:pPr>
      <w:r>
        <w:rPr>
          <w:rFonts w:hint="eastAsia" w:eastAsia="仿宋_GB2312"/>
          <w:sz w:val="32"/>
          <w:szCs w:val="32"/>
        </w:rPr>
        <w:t>绩效指标值通常用绝对值和相对值表示，主要依据或参考计划标准、行业标准、历史标准、预算支出标准、公共服务绩效标准或财政部门和业务主管部门认可的其他标准进行设定。</w:t>
      </w:r>
    </w:p>
    <w:p w14:paraId="7EF54E83">
      <w:pPr>
        <w:spacing w:line="600" w:lineRule="exact"/>
        <w:ind w:firstLine="640" w:firstLineChars="200"/>
        <w:rPr>
          <w:rFonts w:eastAsia="仿宋_GB2312"/>
          <w:sz w:val="32"/>
          <w:szCs w:val="32"/>
        </w:rPr>
      </w:pPr>
      <w:r>
        <w:rPr>
          <w:rFonts w:hint="eastAsia" w:eastAsia="仿宋_GB2312"/>
          <w:sz w:val="32"/>
          <w:szCs w:val="32"/>
        </w:rPr>
        <w:t>1.计划标准。根据计划依据可再细分为国家级、市级计划或要求。如中央和国务院文件、市委市政府文件、政府工作报告、各类规划、部门正式文件以及有关会议纪要提及的计划或考核要求等。</w:t>
      </w:r>
    </w:p>
    <w:p w14:paraId="3B2C67BD">
      <w:pPr>
        <w:spacing w:line="600" w:lineRule="exact"/>
        <w:ind w:firstLine="640" w:firstLineChars="200"/>
        <w:rPr>
          <w:rFonts w:eastAsia="仿宋_GB2312"/>
          <w:sz w:val="32"/>
          <w:szCs w:val="32"/>
        </w:rPr>
      </w:pPr>
      <w:r>
        <w:rPr>
          <w:rFonts w:hint="eastAsia" w:eastAsia="仿宋_GB2312"/>
          <w:sz w:val="32"/>
          <w:szCs w:val="32"/>
        </w:rPr>
        <w:t>2.行业标准。包括行业国际标准、行业国家标准、行业市级标准等。如涉及工艺、技术等指标时可采用。</w:t>
      </w:r>
    </w:p>
    <w:p w14:paraId="59EC2B36">
      <w:pPr>
        <w:spacing w:line="600" w:lineRule="exact"/>
        <w:ind w:firstLine="640" w:firstLineChars="200"/>
        <w:rPr>
          <w:rFonts w:eastAsia="仿宋_GB2312"/>
          <w:sz w:val="32"/>
          <w:szCs w:val="32"/>
        </w:rPr>
      </w:pPr>
      <w:r>
        <w:rPr>
          <w:rFonts w:hint="eastAsia" w:eastAsia="仿宋_GB2312"/>
          <w:sz w:val="32"/>
          <w:szCs w:val="32"/>
        </w:rPr>
        <w:t>3.历史标准。可参考近三年绩效指标平均值、上年值、历史极值等。</w:t>
      </w:r>
    </w:p>
    <w:p w14:paraId="663A7444">
      <w:pPr>
        <w:spacing w:line="600" w:lineRule="exact"/>
        <w:ind w:firstLine="640" w:firstLineChars="200"/>
        <w:rPr>
          <w:rFonts w:eastAsia="仿宋_GB2312"/>
          <w:sz w:val="32"/>
          <w:szCs w:val="32"/>
        </w:rPr>
      </w:pPr>
      <w:r>
        <w:rPr>
          <w:rFonts w:hint="eastAsia" w:eastAsia="仿宋_GB2312"/>
          <w:sz w:val="32"/>
          <w:szCs w:val="32"/>
        </w:rPr>
        <w:t>4.预算支出标准。主要用于成本指标的取值，不得超出规定的预算支出标准设置目标值。</w:t>
      </w:r>
    </w:p>
    <w:p w14:paraId="50F385EA">
      <w:pPr>
        <w:spacing w:line="600" w:lineRule="exact"/>
        <w:ind w:firstLine="640" w:firstLineChars="200"/>
        <w:rPr>
          <w:rFonts w:eastAsia="仿宋_GB2312"/>
          <w:sz w:val="32"/>
          <w:szCs w:val="32"/>
        </w:rPr>
      </w:pPr>
      <w:r>
        <w:rPr>
          <w:rFonts w:hint="eastAsia" w:eastAsia="仿宋_GB2312"/>
          <w:sz w:val="32"/>
          <w:szCs w:val="32"/>
        </w:rPr>
        <w:t>5.公共服务绩效标准。主要用于产出指标、效益指标和满意度指标的取值。包括开展成本预算绩效分析形成的公共服务绩效标准或绩效基线等。</w:t>
      </w:r>
    </w:p>
    <w:p w14:paraId="7FFF65E4">
      <w:pPr>
        <w:spacing w:line="600" w:lineRule="exact"/>
        <w:ind w:firstLine="640" w:firstLineChars="200"/>
        <w:rPr>
          <w:rFonts w:eastAsia="仿宋_GB2312"/>
          <w:sz w:val="32"/>
          <w:szCs w:val="32"/>
        </w:rPr>
      </w:pPr>
      <w:r>
        <w:rPr>
          <w:rFonts w:hint="eastAsia" w:eastAsia="仿宋_GB2312"/>
          <w:sz w:val="32"/>
          <w:szCs w:val="32"/>
        </w:rPr>
        <w:t>6.其他标准。包括成本预算绩效分析形成的成本定额标准、支出标准建议，以及其他参考数值、类似项目的情况等。</w:t>
      </w:r>
    </w:p>
    <w:p w14:paraId="1D2439F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四、绩效指标完成值取值方式及数据来源</w:t>
      </w:r>
    </w:p>
    <w:p w14:paraId="4999CC47">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（一）绩效指标取值方式</w:t>
      </w:r>
    </w:p>
    <w:p w14:paraId="4CECED56">
      <w:pPr>
        <w:spacing w:line="600" w:lineRule="exact"/>
        <w:ind w:firstLine="640" w:firstLineChars="200"/>
        <w:rPr>
          <w:rFonts w:eastAsia="仿宋_GB2312"/>
          <w:sz w:val="32"/>
          <w:szCs w:val="32"/>
        </w:rPr>
      </w:pPr>
      <w:r>
        <w:rPr>
          <w:rFonts w:hint="eastAsia" w:eastAsia="仿宋_GB2312"/>
          <w:sz w:val="32"/>
          <w:szCs w:val="32"/>
        </w:rPr>
        <w:t>根据绩效指标具体数值（情况）的特点、来源等明确取值方式。部门应在设置绩效指标时一并明确有关取值要求和方法。常用的方式有：</w:t>
      </w:r>
    </w:p>
    <w:p w14:paraId="4EB8A877">
      <w:pPr>
        <w:spacing w:line="600" w:lineRule="exact"/>
        <w:ind w:firstLine="640" w:firstLineChars="200"/>
        <w:rPr>
          <w:rFonts w:eastAsia="仿宋_GB2312"/>
          <w:sz w:val="32"/>
          <w:szCs w:val="32"/>
        </w:rPr>
      </w:pPr>
      <w:r>
        <w:rPr>
          <w:rFonts w:hint="eastAsia" w:eastAsia="仿宋_GB2312"/>
          <w:sz w:val="32"/>
          <w:szCs w:val="32"/>
        </w:rPr>
        <w:t>1.直接证明法。指可以根据外部权威部门出具的数据、鉴证、报告证明的方法，通常适用于常见的官方统计数据等。</w:t>
      </w:r>
    </w:p>
    <w:p w14:paraId="6CBCC4E8">
      <w:pPr>
        <w:spacing w:line="600" w:lineRule="exact"/>
        <w:ind w:firstLine="640" w:firstLineChars="200"/>
        <w:rPr>
          <w:rFonts w:eastAsia="仿宋_GB2312"/>
          <w:sz w:val="32"/>
          <w:szCs w:val="32"/>
        </w:rPr>
      </w:pPr>
      <w:r>
        <w:rPr>
          <w:rFonts w:hint="eastAsia" w:eastAsia="仿宋_GB2312"/>
          <w:sz w:val="32"/>
          <w:szCs w:val="32"/>
        </w:rPr>
        <w:t>2.情况统计法。指按规定口径对有关数据和情况进行清点、核实、计算、对比、汇总等整理的方法。多数产出指标适用于本方法。</w:t>
      </w:r>
    </w:p>
    <w:p w14:paraId="275CF854">
      <w:pPr>
        <w:spacing w:line="600" w:lineRule="exact"/>
        <w:ind w:firstLine="640" w:firstLineChars="200"/>
        <w:rPr>
          <w:rFonts w:eastAsia="仿宋_GB2312"/>
          <w:sz w:val="32"/>
          <w:szCs w:val="32"/>
        </w:rPr>
      </w:pPr>
      <w:r>
        <w:rPr>
          <w:rFonts w:hint="eastAsia" w:eastAsia="仿宋_GB2312"/>
          <w:sz w:val="32"/>
          <w:szCs w:val="32"/>
        </w:rPr>
        <w:t>3.情况说明法。对于定性指标等难以通过量化指标衡量的情况，由部门根据设置绩效目标时明确的绩效指标来源和指标值设定依据，对指标完成的程度、进度、质量等情况进行说明并证明，并依据说明对完成等次进行判断。</w:t>
      </w:r>
    </w:p>
    <w:p w14:paraId="2626E976">
      <w:pPr>
        <w:spacing w:line="600" w:lineRule="exact"/>
        <w:ind w:firstLine="640" w:firstLineChars="200"/>
        <w:rPr>
          <w:rFonts w:eastAsia="仿宋_GB2312"/>
          <w:sz w:val="32"/>
          <w:szCs w:val="32"/>
        </w:rPr>
      </w:pPr>
      <w:r>
        <w:rPr>
          <w:rFonts w:hint="eastAsia" w:eastAsia="仿宋_GB2312"/>
          <w:sz w:val="32"/>
          <w:szCs w:val="32"/>
        </w:rPr>
        <w:t>4.问卷调查法。指运用统一设计的问卷向被选取的调查对象了解情况或征询意见的调查方法。一般适用于满意度调查等。部门可以根据必要性、成本和实施可行性，明确由实施单位在项目实施过程中开展。</w:t>
      </w:r>
    </w:p>
    <w:p w14:paraId="5D590410">
      <w:pPr>
        <w:spacing w:line="600" w:lineRule="exact"/>
        <w:ind w:firstLine="640" w:firstLineChars="200"/>
        <w:rPr>
          <w:rFonts w:eastAsia="仿宋_GB2312"/>
          <w:sz w:val="32"/>
          <w:szCs w:val="32"/>
        </w:rPr>
      </w:pPr>
      <w:r>
        <w:rPr>
          <w:rFonts w:hint="eastAsia" w:eastAsia="仿宋_GB2312"/>
          <w:sz w:val="32"/>
          <w:szCs w:val="32"/>
        </w:rPr>
        <w:t>5.趋势判断法。指运用大数据思维，结合项目实施期总体目标，对指标历史数据进行整理、修正、分析，预判项目在全生命周期不同阶段的数据趋势。</w:t>
      </w:r>
    </w:p>
    <w:p w14:paraId="4C69CF6C">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（二）绩效指标完成值数据来源</w:t>
      </w:r>
    </w:p>
    <w:p w14:paraId="28BC8156">
      <w:pPr>
        <w:spacing w:line="600" w:lineRule="exact"/>
        <w:ind w:firstLine="640" w:firstLineChars="200"/>
        <w:rPr>
          <w:rFonts w:eastAsia="仿宋_GB2312"/>
          <w:sz w:val="32"/>
          <w:szCs w:val="32"/>
        </w:rPr>
      </w:pPr>
      <w:r>
        <w:rPr>
          <w:rFonts w:hint="eastAsia" w:eastAsia="仿宋_GB2312"/>
          <w:sz w:val="32"/>
          <w:szCs w:val="32"/>
        </w:rPr>
        <w:t>1.统计部门统计数据。如GDP、工业增加值、常住人口等。</w:t>
      </w:r>
    </w:p>
    <w:p w14:paraId="71E937C1">
      <w:pPr>
        <w:spacing w:line="600" w:lineRule="exact"/>
        <w:ind w:firstLine="640" w:firstLineChars="200"/>
        <w:rPr>
          <w:rFonts w:eastAsia="仿宋_GB2312"/>
          <w:sz w:val="32"/>
          <w:szCs w:val="32"/>
        </w:rPr>
      </w:pPr>
      <w:r>
        <w:rPr>
          <w:rFonts w:hint="eastAsia" w:eastAsia="仿宋_GB2312"/>
          <w:sz w:val="32"/>
          <w:szCs w:val="32"/>
        </w:rPr>
        <w:t>2.权威机构调查（统计）。如基本科学指标数据库（ESI）高校学科排名、科学引文索引（SCI）收录论文数等。</w:t>
      </w:r>
    </w:p>
    <w:p w14:paraId="799F43A2">
      <w:pPr>
        <w:spacing w:line="600" w:lineRule="exact"/>
        <w:ind w:firstLine="640" w:firstLineChars="200"/>
        <w:rPr>
          <w:rFonts w:eastAsia="仿宋_GB2312"/>
          <w:sz w:val="32"/>
          <w:szCs w:val="32"/>
        </w:rPr>
      </w:pPr>
      <w:r>
        <w:rPr>
          <w:rFonts w:hint="eastAsia" w:eastAsia="仿宋_GB2312"/>
          <w:sz w:val="32"/>
          <w:szCs w:val="32"/>
        </w:rPr>
        <w:t>3.部门统计年鉴。如在校学生数、基本医疗保险参保率等。</w:t>
      </w:r>
    </w:p>
    <w:p w14:paraId="56242D80">
      <w:pPr>
        <w:spacing w:line="600" w:lineRule="exact"/>
        <w:ind w:firstLine="640" w:firstLineChars="200"/>
        <w:rPr>
          <w:rFonts w:eastAsia="仿宋_GB2312"/>
          <w:sz w:val="32"/>
          <w:szCs w:val="32"/>
        </w:rPr>
      </w:pPr>
      <w:r>
        <w:rPr>
          <w:rFonts w:hint="eastAsia" w:eastAsia="仿宋_GB2312"/>
          <w:sz w:val="32"/>
          <w:szCs w:val="32"/>
        </w:rPr>
        <w:t>4.部门业务统计。如培训人数、网站访问量、完成课题数、满意度等。</w:t>
      </w:r>
    </w:p>
    <w:p w14:paraId="6D116102">
      <w:pPr>
        <w:spacing w:line="600" w:lineRule="exact"/>
        <w:ind w:firstLine="640" w:firstLineChars="200"/>
        <w:rPr>
          <w:rFonts w:eastAsia="仿宋_GB2312"/>
          <w:sz w:val="32"/>
          <w:szCs w:val="32"/>
        </w:rPr>
      </w:pPr>
      <w:r>
        <w:rPr>
          <w:rFonts w:hint="eastAsia" w:eastAsia="仿宋_GB2312"/>
          <w:sz w:val="32"/>
          <w:szCs w:val="32"/>
        </w:rPr>
        <w:t>5.部门业务记录。如能够反映重大文化活动、演出展览现场的音像、视频资料等。</w:t>
      </w:r>
    </w:p>
    <w:p w14:paraId="7ECE92F0">
      <w:pPr>
        <w:spacing w:line="600" w:lineRule="exact"/>
        <w:ind w:firstLine="640" w:firstLineChars="200"/>
        <w:rPr>
          <w:rFonts w:eastAsia="仿宋_GB2312"/>
          <w:sz w:val="32"/>
          <w:szCs w:val="32"/>
        </w:rPr>
      </w:pPr>
      <w:r>
        <w:rPr>
          <w:rFonts w:hint="eastAsia" w:eastAsia="仿宋_GB2312"/>
          <w:sz w:val="32"/>
          <w:szCs w:val="32"/>
        </w:rPr>
        <w:t>6.部门业务评判。如对项目成效、工作效果等的定性指标。</w:t>
      </w:r>
    </w:p>
    <w:p w14:paraId="07373694">
      <w:pPr>
        <w:spacing w:line="600" w:lineRule="exact"/>
        <w:ind w:firstLine="640" w:firstLineChars="200"/>
        <w:rPr>
          <w:rFonts w:eastAsia="仿宋_GB2312"/>
          <w:sz w:val="32"/>
          <w:szCs w:val="32"/>
        </w:rPr>
      </w:pPr>
      <w:r>
        <w:rPr>
          <w:rFonts w:hint="eastAsia" w:eastAsia="仿宋_GB2312"/>
          <w:sz w:val="32"/>
          <w:szCs w:val="32"/>
        </w:rPr>
        <w:t>7.问卷调查报告。如满意度等。</w:t>
      </w:r>
    </w:p>
    <w:p w14:paraId="3F297946">
      <w:pPr>
        <w:spacing w:line="600" w:lineRule="exact"/>
        <w:ind w:firstLine="640" w:firstLineChars="200"/>
        <w:rPr>
          <w:rFonts w:eastAsia="仿宋_GB2312"/>
          <w:sz w:val="32"/>
          <w:szCs w:val="32"/>
        </w:rPr>
      </w:pPr>
      <w:r>
        <w:rPr>
          <w:rFonts w:hint="eastAsia" w:eastAsia="仿宋_GB2312"/>
          <w:sz w:val="32"/>
          <w:szCs w:val="32"/>
        </w:rPr>
        <w:t>8.媒体舆论。如满意度等。</w:t>
      </w:r>
    </w:p>
    <w:p w14:paraId="02625789">
      <w:pPr>
        <w:spacing w:line="600" w:lineRule="exact"/>
        <w:ind w:firstLine="640" w:firstLineChars="200"/>
        <w:rPr>
          <w:rFonts w:eastAsia="仿宋_GB2312"/>
          <w:sz w:val="32"/>
          <w:szCs w:val="32"/>
        </w:rPr>
      </w:pPr>
      <w:r>
        <w:rPr>
          <w:rFonts w:hint="eastAsia" w:eastAsia="仿宋_GB2312"/>
          <w:sz w:val="32"/>
          <w:szCs w:val="32"/>
        </w:rPr>
        <w:t>9.其他数据来源。</w:t>
      </w:r>
    </w:p>
    <w:p w14:paraId="6A56EFB9">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五、绩效指标分值权重和赋分规则</w:t>
      </w:r>
    </w:p>
    <w:p w14:paraId="7DE8F8B2">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（一）指标分值权重</w:t>
      </w:r>
    </w:p>
    <w:p w14:paraId="3265A9C2">
      <w:pPr>
        <w:spacing w:line="600" w:lineRule="exact"/>
        <w:ind w:firstLine="640" w:firstLineChars="200"/>
        <w:rPr>
          <w:rFonts w:eastAsia="仿宋_GB2312"/>
          <w:sz w:val="32"/>
          <w:szCs w:val="32"/>
        </w:rPr>
      </w:pPr>
      <w:r>
        <w:rPr>
          <w:rFonts w:hint="eastAsia" w:eastAsia="仿宋_GB2312"/>
          <w:sz w:val="32"/>
          <w:szCs w:val="32"/>
        </w:rPr>
        <w:t>绩效指标分值权重根据项目实际情况确定。原则上一级指标权重统一按以下方式设置：成本指标20%、产出指标40%、效益指标20%、满意度指标10%（其余10%的分值权重为预算执行率指标，编制预算时暂不设置，部门或单位开展自评时使用，下同）；对于不需设置满意度指标的项目，其效益指标分值权重相应可调增10%。各指标分值权重依据指标的重要程度合理设置，在预算批复中予以明确，设立后原则上不得调整。</w:t>
      </w:r>
    </w:p>
    <w:p w14:paraId="28540C07">
      <w:pPr>
        <w:spacing w:line="600" w:lineRule="exact"/>
        <w:ind w:firstLine="643" w:firstLineChars="200"/>
        <w:rPr>
          <w:rFonts w:eastAsia="仿宋_GB2312"/>
          <w:sz w:val="32"/>
          <w:szCs w:val="32"/>
        </w:rPr>
      </w:pPr>
      <w:r>
        <w:rPr>
          <w:rFonts w:hint="eastAsia" w:ascii="楷体_GB2312" w:hAnsi="楷体_GB2312" w:eastAsia="楷体_GB2312" w:cs="楷体_GB2312"/>
          <w:b/>
          <w:bCs/>
          <w:sz w:val="32"/>
          <w:szCs w:val="32"/>
        </w:rPr>
        <w:t>（二）绩效指标赋分规则</w:t>
      </w:r>
    </w:p>
    <w:p w14:paraId="4BAD1FD2">
      <w:pPr>
        <w:spacing w:line="600" w:lineRule="exact"/>
        <w:ind w:firstLine="640" w:firstLineChars="200"/>
        <w:rPr>
          <w:rFonts w:eastAsia="仿宋_GB2312"/>
          <w:sz w:val="32"/>
          <w:szCs w:val="32"/>
        </w:rPr>
      </w:pPr>
      <w:r>
        <w:rPr>
          <w:rFonts w:hint="eastAsia" w:eastAsia="仿宋_GB2312"/>
          <w:sz w:val="32"/>
          <w:szCs w:val="32"/>
        </w:rPr>
        <w:t>1.直接赋分。主要适用于进行“是”或“否”判断的单一评判指标。符合要求的得满分，不符合要求的不得分或者扣相应的分数。</w:t>
      </w:r>
    </w:p>
    <w:p w14:paraId="610FC2C4">
      <w:pPr>
        <w:spacing w:line="600" w:lineRule="exact"/>
        <w:ind w:firstLine="640" w:firstLineChars="200"/>
        <w:rPr>
          <w:rFonts w:eastAsia="仿宋_GB2312"/>
          <w:sz w:val="32"/>
          <w:szCs w:val="32"/>
        </w:rPr>
      </w:pPr>
      <w:r>
        <w:rPr>
          <w:rFonts w:hint="eastAsia" w:eastAsia="仿宋_GB2312"/>
          <w:sz w:val="32"/>
          <w:szCs w:val="32"/>
        </w:rPr>
        <w:t>2.按照完成比例赋分，同时设置及格门槛。主要适用于量化的统计类等定量指标。具体可根据指标目标值的精细程度、数据变化区间进行设定。</w:t>
      </w:r>
    </w:p>
    <w:p w14:paraId="0F4C2812">
      <w:pPr>
        <w:spacing w:line="600" w:lineRule="exact"/>
        <w:ind w:firstLine="640" w:firstLineChars="200"/>
        <w:rPr>
          <w:rFonts w:eastAsia="仿宋_GB2312"/>
          <w:sz w:val="32"/>
          <w:szCs w:val="32"/>
        </w:rPr>
      </w:pPr>
      <w:r>
        <w:rPr>
          <w:rFonts w:hint="eastAsia" w:eastAsia="仿宋_GB2312"/>
          <w:sz w:val="32"/>
          <w:szCs w:val="32"/>
        </w:rPr>
        <w:t>如：预算执行率按比例赋分，计算公式为：得分=预算执行率×10分。</w:t>
      </w:r>
    </w:p>
    <w:p w14:paraId="3F219355">
      <w:pPr>
        <w:spacing w:line="600" w:lineRule="exact"/>
        <w:ind w:firstLine="640" w:firstLineChars="200"/>
        <w:rPr>
          <w:rFonts w:eastAsia="仿宋_GB2312"/>
          <w:sz w:val="32"/>
          <w:szCs w:val="32"/>
        </w:rPr>
      </w:pPr>
      <w:r>
        <w:rPr>
          <w:rFonts w:hint="eastAsia" w:eastAsia="仿宋_GB2312"/>
          <w:sz w:val="32"/>
          <w:szCs w:val="32"/>
        </w:rPr>
        <w:t>如：定量指标按比例赋分，并设置及格门槛。如：完成率小于60%为不及格，不得分；大于等于60%的，按超过的比重赋分，计算公式为：得分=（实际完成率-60%）/（1-60%）×指标分值。</w:t>
      </w:r>
    </w:p>
    <w:p w14:paraId="1FFF6983">
      <w:pPr>
        <w:spacing w:line="600" w:lineRule="exact"/>
        <w:ind w:firstLine="640" w:firstLineChars="200"/>
        <w:rPr>
          <w:rFonts w:eastAsia="仿宋_GB2312"/>
          <w:sz w:val="32"/>
          <w:szCs w:val="32"/>
        </w:rPr>
      </w:pPr>
      <w:r>
        <w:rPr>
          <w:rFonts w:hint="eastAsia" w:eastAsia="仿宋_GB2312"/>
          <w:sz w:val="32"/>
          <w:szCs w:val="32"/>
        </w:rPr>
        <w:t>3.按评判等级赋分。主要适用于情况说明类的定性指标。分为基本达成目标、部分实现目标、实现目标程度较低三个档次，并分别按照该指标对应分值区间100%-80%（含）、80%-60%（含）、60%-0%合理确定分值。</w:t>
      </w:r>
    </w:p>
    <w:p w14:paraId="0F3100B9">
      <w:pPr>
        <w:spacing w:line="600" w:lineRule="exact"/>
        <w:ind w:firstLine="640" w:firstLineChars="200"/>
        <w:rPr>
          <w:rFonts w:eastAsia="仿宋_GB2312"/>
          <w:sz w:val="32"/>
          <w:szCs w:val="32"/>
        </w:rPr>
      </w:pPr>
      <w:r>
        <w:rPr>
          <w:rFonts w:hint="eastAsia" w:eastAsia="仿宋_GB2312"/>
          <w:sz w:val="32"/>
          <w:szCs w:val="32"/>
        </w:rPr>
        <w:t>4.满意度赋分。适用于对服务对象、受益群体的满意程度询问调查，一般按照区间进行赋分。如：满意度大于等于90%的得10分，满意度小于90%且大于等于80%的得8分，满意度小于80%且大于等于60%的得5分，满意度小于60%不得分。</w:t>
      </w:r>
    </w:p>
    <w:p w14:paraId="0EEB8B63">
      <w:pPr>
        <w:spacing w:line="6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（三）绩效指标佐证资料要求</w:t>
      </w:r>
    </w:p>
    <w:p w14:paraId="519338D7">
      <w:pPr>
        <w:spacing w:line="600" w:lineRule="exact"/>
        <w:ind w:firstLine="640" w:firstLineChars="200"/>
        <w:rPr>
          <w:rFonts w:eastAsia="仿宋_GB2312"/>
          <w:sz w:val="32"/>
          <w:szCs w:val="32"/>
        </w:rPr>
      </w:pPr>
      <w:r>
        <w:rPr>
          <w:rFonts w:hint="eastAsia" w:eastAsia="仿宋_GB2312"/>
          <w:sz w:val="32"/>
          <w:szCs w:val="32"/>
        </w:rPr>
        <w:t>按照数据来源提供对应的佐证材料。主要包括以下类型：</w:t>
      </w:r>
    </w:p>
    <w:p w14:paraId="7095086E">
      <w:pPr>
        <w:spacing w:line="600" w:lineRule="exact"/>
        <w:ind w:firstLine="640" w:firstLineChars="200"/>
        <w:rPr>
          <w:rFonts w:eastAsia="仿宋_GB2312"/>
          <w:sz w:val="32"/>
          <w:szCs w:val="32"/>
        </w:rPr>
      </w:pPr>
      <w:r>
        <w:rPr>
          <w:rFonts w:hint="eastAsia" w:eastAsia="仿宋_GB2312"/>
          <w:sz w:val="32"/>
          <w:szCs w:val="32"/>
        </w:rPr>
        <w:t>1.正式资料。统计年鉴、文件、证书、专业机构意见（标准文书）等。</w:t>
      </w:r>
    </w:p>
    <w:p w14:paraId="636099EB">
      <w:pPr>
        <w:spacing w:line="600" w:lineRule="exact"/>
        <w:ind w:firstLine="640" w:firstLineChars="200"/>
        <w:rPr>
          <w:rFonts w:eastAsia="仿宋_GB2312"/>
          <w:sz w:val="32"/>
          <w:szCs w:val="32"/>
        </w:rPr>
      </w:pPr>
      <w:r>
        <w:rPr>
          <w:rFonts w:hint="eastAsia" w:eastAsia="仿宋_GB2312"/>
          <w:sz w:val="32"/>
          <w:szCs w:val="32"/>
        </w:rPr>
        <w:t>2.工作资料。部门总结、统计报表、部门内部签报、专家论证意见、满意度调查报告、相关业务资料等。对于过程性资料，部门和单位应当在项目实施过程中及时保存整理。</w:t>
      </w:r>
    </w:p>
    <w:p w14:paraId="219BF8D3">
      <w:pPr>
        <w:spacing w:line="600" w:lineRule="exact"/>
        <w:ind w:firstLine="640" w:firstLineChars="200"/>
        <w:rPr>
          <w:rFonts w:eastAsia="仿宋_GB2312"/>
          <w:sz w:val="32"/>
          <w:szCs w:val="32"/>
        </w:rPr>
      </w:pPr>
      <w:r>
        <w:rPr>
          <w:rFonts w:hint="eastAsia" w:eastAsia="仿宋_GB2312"/>
          <w:sz w:val="32"/>
          <w:szCs w:val="32"/>
        </w:rPr>
        <w:t>3.原始凭证。预决算报表、财务账、资产账、合同、签到表、验收凭证、网站截屏等。</w:t>
      </w:r>
    </w:p>
    <w:p w14:paraId="53AA8D36">
      <w:pPr>
        <w:spacing w:line="600" w:lineRule="exact"/>
        <w:ind w:firstLine="640" w:firstLineChars="200"/>
        <w:rPr>
          <w:rFonts w:eastAsia="仿宋_GB2312"/>
          <w:sz w:val="32"/>
          <w:szCs w:val="32"/>
        </w:rPr>
      </w:pPr>
      <w:r>
        <w:rPr>
          <w:rFonts w:hint="eastAsia" w:eastAsia="仿宋_GB2312"/>
          <w:sz w:val="32"/>
          <w:szCs w:val="32"/>
        </w:rPr>
        <w:t>4.说明材料。针对确无直接佐证材料或者综合性的内容，由相关单位、人员出具正式的说明。</w:t>
      </w:r>
    </w:p>
    <w:p w14:paraId="427C0524">
      <w:pPr>
        <w:spacing w:line="600" w:lineRule="exact"/>
        <w:ind w:firstLine="640" w:firstLineChars="200"/>
        <w:rPr>
          <w:rFonts w:eastAsia="仿宋_GB2312"/>
          <w:sz w:val="32"/>
          <w:szCs w:val="32"/>
        </w:rPr>
      </w:pPr>
      <w:r>
        <w:rPr>
          <w:rFonts w:hint="eastAsia" w:eastAsia="仿宋_GB2312"/>
          <w:sz w:val="32"/>
          <w:szCs w:val="32"/>
        </w:rPr>
        <w:t>市级预算部门依托预算管理一体化系统，按照上述指引设置和使用项目支出核心绩效目标和指标，加强本部门所属行业、领域绩效指标体系建设，并结合工作实际和成本预算绩效分析成果，对绩效指标实行动态维护。经部门审核确定后的项目绩效目标及指标，随部门预算报财政部门审核批复。同时，各部门可在指引原则范围内，根据部门实际进一步细化指引内容，制定操作细则，规范有序提升绩效目标编制和评价工作质量。</w:t>
      </w:r>
    </w:p>
    <w:p w14:paraId="4C01BC4B">
      <w:pPr>
        <w:rPr>
          <w:rFonts w:eastAsia="仿宋_GB2312"/>
          <w:sz w:val="32"/>
          <w:szCs w:val="32"/>
        </w:rPr>
      </w:pPr>
    </w:p>
    <w:p w14:paraId="47913518">
      <w:pPr>
        <w:spacing w:line="600" w:lineRule="exact"/>
        <w:ind w:firstLine="640" w:firstLineChars="200"/>
        <w:rPr>
          <w:rFonts w:eastAsia="仿宋_GB2312"/>
          <w:sz w:val="32"/>
          <w:szCs w:val="32"/>
        </w:rPr>
      </w:pPr>
      <w:r>
        <w:rPr>
          <w:rFonts w:hint="eastAsia" w:eastAsia="仿宋_GB2312"/>
          <w:sz w:val="32"/>
          <w:szCs w:val="32"/>
        </w:rPr>
        <w:t>附件：1.财政项目支出绩效目标申报表</w:t>
      </w:r>
    </w:p>
    <w:p w14:paraId="2C19A622">
      <w:pPr>
        <w:spacing w:line="600" w:lineRule="exact"/>
        <w:ind w:firstLine="1600" w:firstLineChars="500"/>
        <w:rPr>
          <w:rFonts w:eastAsia="仿宋_GB2312"/>
          <w:sz w:val="32"/>
          <w:szCs w:val="32"/>
        </w:rPr>
      </w:pPr>
      <w:r>
        <w:rPr>
          <w:rFonts w:hint="eastAsia" w:eastAsia="仿宋_GB2312"/>
          <w:sz w:val="32"/>
          <w:szCs w:val="32"/>
        </w:rPr>
        <w:t>2.成本指标设置路径和参考案例</w:t>
      </w:r>
    </w:p>
    <w:p w14:paraId="43EDDE55">
      <w:pPr>
        <w:pStyle w:val="12"/>
      </w:pPr>
    </w:p>
    <w:p w14:paraId="03D5A848">
      <w:pPr>
        <w:spacing w:line="600" w:lineRule="exact"/>
        <w:rPr>
          <w:rFonts w:eastAsia="仿宋_GB2312"/>
          <w:sz w:val="32"/>
          <w:szCs w:val="32"/>
        </w:rPr>
      </w:pPr>
    </w:p>
    <w:p w14:paraId="06C67FB2">
      <w:pPr>
        <w:spacing w:line="600" w:lineRule="exact"/>
        <w:rPr>
          <w:rFonts w:ascii="黑体" w:hAnsi="黑体" w:eastAsia="黑体" w:cs="黑体"/>
          <w:sz w:val="32"/>
          <w:szCs w:val="32"/>
        </w:rPr>
      </w:pPr>
      <w:r>
        <w:rPr>
          <w:rFonts w:hint="eastAsia" w:ascii="黑体" w:hAnsi="黑体" w:eastAsia="黑体" w:cs="黑体"/>
          <w:sz w:val="32"/>
          <w:szCs w:val="32"/>
        </w:rPr>
        <w:t>附件1</w:t>
      </w:r>
    </w:p>
    <w:tbl>
      <w:tblPr>
        <w:tblStyle w:val="14"/>
        <w:tblW w:w="5000" w:type="pct"/>
        <w:tblInd w:w="0" w:type="dxa"/>
        <w:tblLayout w:type="fixed"/>
        <w:tblCellMar>
          <w:top w:w="0" w:type="dxa"/>
          <w:left w:w="108" w:type="dxa"/>
          <w:bottom w:w="0" w:type="dxa"/>
          <w:right w:w="108" w:type="dxa"/>
        </w:tblCellMar>
      </w:tblPr>
      <w:tblGrid>
        <w:gridCol w:w="587"/>
        <w:gridCol w:w="615"/>
        <w:gridCol w:w="494"/>
        <w:gridCol w:w="1200"/>
        <w:gridCol w:w="1626"/>
        <w:gridCol w:w="2570"/>
        <w:gridCol w:w="523"/>
        <w:gridCol w:w="907"/>
      </w:tblGrid>
      <w:tr w14:paraId="41CDA376">
        <w:tblPrEx>
          <w:tblCellMar>
            <w:top w:w="0" w:type="dxa"/>
            <w:left w:w="108" w:type="dxa"/>
            <w:bottom w:w="0" w:type="dxa"/>
            <w:right w:w="108" w:type="dxa"/>
          </w:tblCellMar>
        </w:tblPrEx>
        <w:trPr>
          <w:trHeight w:val="23" w:hRule="atLeast"/>
        </w:trPr>
        <w:tc>
          <w:tcPr>
            <w:tcW w:w="5000" w:type="pct"/>
            <w:gridSpan w:val="8"/>
            <w:tcBorders>
              <w:top w:val="nil"/>
              <w:left w:val="nil"/>
              <w:bottom w:val="nil"/>
              <w:right w:val="nil"/>
            </w:tcBorders>
            <w:noWrap/>
            <w:vAlign w:val="center"/>
          </w:tcPr>
          <w:p w14:paraId="1348AC67">
            <w:pPr>
              <w:widowControl/>
              <w:spacing w:line="600" w:lineRule="exact"/>
              <w:jc w:val="center"/>
              <w:textAlignment w:val="center"/>
              <w:rPr>
                <w:rFonts w:ascii="宋体" w:hAnsi="宋体" w:cs="宋体"/>
                <w:b/>
                <w:color w:val="000000"/>
                <w:sz w:val="28"/>
                <w:szCs w:val="28"/>
              </w:rPr>
            </w:pPr>
            <w:r>
              <w:rPr>
                <w:rFonts w:hint="eastAsia" w:ascii="方正小标宋简体" w:hAnsi="方正小标宋简体" w:eastAsia="方正小标宋简体" w:cs="方正小标宋简体"/>
                <w:bCs/>
                <w:color w:val="000000"/>
                <w:kern w:val="0"/>
                <w:sz w:val="44"/>
                <w:szCs w:val="44"/>
              </w:rPr>
              <w:t>财政项目支出绩效目标申报表</w:t>
            </w:r>
          </w:p>
        </w:tc>
      </w:tr>
      <w:tr w14:paraId="6CD9EFDC">
        <w:tblPrEx>
          <w:tblCellMar>
            <w:top w:w="0" w:type="dxa"/>
            <w:left w:w="108" w:type="dxa"/>
            <w:bottom w:w="0" w:type="dxa"/>
            <w:right w:w="108" w:type="dxa"/>
          </w:tblCellMar>
        </w:tblPrEx>
        <w:trPr>
          <w:trHeight w:val="23" w:hRule="atLeast"/>
        </w:trPr>
        <w:tc>
          <w:tcPr>
            <w:tcW w:w="5000" w:type="pct"/>
            <w:gridSpan w:val="8"/>
            <w:tcBorders>
              <w:top w:val="nil"/>
              <w:left w:val="nil"/>
              <w:bottom w:val="nil"/>
              <w:right w:val="nil"/>
            </w:tcBorders>
            <w:noWrap/>
            <w:vAlign w:val="center"/>
          </w:tcPr>
          <w:p w14:paraId="59B3759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年度)</w:t>
            </w:r>
          </w:p>
        </w:tc>
      </w:tr>
      <w:tr w14:paraId="2B3D0BC4">
        <w:tblPrEx>
          <w:tblCellMar>
            <w:top w:w="0" w:type="dxa"/>
            <w:left w:w="108" w:type="dxa"/>
            <w:bottom w:w="0" w:type="dxa"/>
            <w:right w:w="108" w:type="dxa"/>
          </w:tblCellMar>
        </w:tblPrEx>
        <w:trPr>
          <w:trHeight w:val="23" w:hRule="atLeast"/>
        </w:trPr>
        <w:tc>
          <w:tcPr>
            <w:tcW w:w="705" w:type="pct"/>
            <w:gridSpan w:val="2"/>
            <w:tcBorders>
              <w:top w:val="single" w:color="000000" w:sz="4" w:space="0"/>
              <w:left w:val="single" w:color="000000" w:sz="4" w:space="0"/>
              <w:bottom w:val="single" w:color="000000" w:sz="4" w:space="0"/>
              <w:right w:val="single" w:color="000000" w:sz="4" w:space="0"/>
            </w:tcBorders>
            <w:noWrap/>
            <w:vAlign w:val="center"/>
          </w:tcPr>
          <w:p w14:paraId="45DEE77B">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项目名称</w:t>
            </w:r>
          </w:p>
        </w:tc>
        <w:tc>
          <w:tcPr>
            <w:tcW w:w="994" w:type="pct"/>
            <w:gridSpan w:val="2"/>
            <w:tcBorders>
              <w:top w:val="single" w:color="000000" w:sz="4" w:space="0"/>
              <w:left w:val="single" w:color="000000" w:sz="4" w:space="0"/>
              <w:bottom w:val="single" w:color="000000" w:sz="4" w:space="0"/>
              <w:right w:val="single" w:color="000000" w:sz="4" w:space="0"/>
            </w:tcBorders>
            <w:noWrap/>
            <w:vAlign w:val="center"/>
          </w:tcPr>
          <w:p w14:paraId="4D048D2F">
            <w:pPr>
              <w:jc w:val="center"/>
              <w:rPr>
                <w:rFonts w:ascii="宋体" w:hAnsi="宋体" w:cs="宋体"/>
                <w:color w:val="000000"/>
                <w:sz w:val="16"/>
                <w:szCs w:val="16"/>
              </w:rPr>
            </w:pPr>
          </w:p>
        </w:tc>
        <w:tc>
          <w:tcPr>
            <w:tcW w:w="954" w:type="pct"/>
            <w:tcBorders>
              <w:top w:val="single" w:color="000000" w:sz="4" w:space="0"/>
              <w:left w:val="single" w:color="000000" w:sz="4" w:space="0"/>
              <w:bottom w:val="single" w:color="000000" w:sz="4" w:space="0"/>
              <w:right w:val="single" w:color="000000" w:sz="4" w:space="0"/>
            </w:tcBorders>
            <w:noWrap/>
            <w:vAlign w:val="center"/>
          </w:tcPr>
          <w:p w14:paraId="695048C7">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项目类别</w:t>
            </w:r>
          </w:p>
        </w:tc>
        <w:tc>
          <w:tcPr>
            <w:tcW w:w="2345" w:type="pct"/>
            <w:gridSpan w:val="3"/>
            <w:tcBorders>
              <w:top w:val="single" w:color="000000" w:sz="4" w:space="0"/>
              <w:left w:val="single" w:color="000000" w:sz="4" w:space="0"/>
              <w:bottom w:val="single" w:color="000000" w:sz="4" w:space="0"/>
              <w:right w:val="single" w:color="000000" w:sz="4" w:space="0"/>
            </w:tcBorders>
            <w:noWrap/>
            <w:vAlign w:val="center"/>
          </w:tcPr>
          <w:p w14:paraId="0E2FB251">
            <w:pPr>
              <w:jc w:val="left"/>
              <w:rPr>
                <w:rFonts w:ascii="宋体" w:hAnsi="宋体" w:cs="宋体"/>
                <w:color w:val="000000"/>
                <w:sz w:val="16"/>
                <w:szCs w:val="16"/>
              </w:rPr>
            </w:pPr>
            <w:r>
              <w:rPr>
                <w:rFonts w:hint="eastAsia" w:ascii="宋体" w:hAnsi="宋体" w:cs="宋体"/>
                <w:color w:val="000000"/>
                <w:kern w:val="0"/>
                <w:sz w:val="16"/>
                <w:szCs w:val="16"/>
              </w:rPr>
              <w:t xml:space="preserve">专项资金□  经常性项目□  一次性项目□ </w:t>
            </w:r>
          </w:p>
        </w:tc>
      </w:tr>
      <w:tr w14:paraId="471D0B14">
        <w:tblPrEx>
          <w:tblCellMar>
            <w:top w:w="0" w:type="dxa"/>
            <w:left w:w="108" w:type="dxa"/>
            <w:bottom w:w="0" w:type="dxa"/>
            <w:right w:w="108" w:type="dxa"/>
          </w:tblCellMar>
        </w:tblPrEx>
        <w:trPr>
          <w:trHeight w:val="90" w:hRule="atLeast"/>
        </w:trPr>
        <w:tc>
          <w:tcPr>
            <w:tcW w:w="705" w:type="pct"/>
            <w:gridSpan w:val="2"/>
            <w:tcBorders>
              <w:top w:val="single" w:color="000000" w:sz="4" w:space="0"/>
              <w:left w:val="single" w:color="000000" w:sz="4" w:space="0"/>
              <w:bottom w:val="single" w:color="000000" w:sz="4" w:space="0"/>
              <w:right w:val="single" w:color="000000" w:sz="4" w:space="0"/>
            </w:tcBorders>
            <w:noWrap/>
            <w:vAlign w:val="center"/>
          </w:tcPr>
          <w:p w14:paraId="2FFA69DE">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主管部门</w:t>
            </w:r>
          </w:p>
        </w:tc>
        <w:tc>
          <w:tcPr>
            <w:tcW w:w="994" w:type="pct"/>
            <w:gridSpan w:val="2"/>
            <w:tcBorders>
              <w:top w:val="single" w:color="000000" w:sz="4" w:space="0"/>
              <w:left w:val="single" w:color="000000" w:sz="4" w:space="0"/>
              <w:bottom w:val="single" w:color="000000" w:sz="4" w:space="0"/>
              <w:right w:val="single" w:color="000000" w:sz="4" w:space="0"/>
            </w:tcBorders>
            <w:noWrap/>
            <w:vAlign w:val="center"/>
          </w:tcPr>
          <w:p w14:paraId="58DD3650">
            <w:pPr>
              <w:jc w:val="center"/>
              <w:rPr>
                <w:rFonts w:ascii="宋体" w:hAnsi="宋体" w:cs="宋体"/>
                <w:color w:val="000000"/>
                <w:sz w:val="16"/>
                <w:szCs w:val="16"/>
              </w:rPr>
            </w:pPr>
          </w:p>
        </w:tc>
        <w:tc>
          <w:tcPr>
            <w:tcW w:w="954" w:type="pct"/>
            <w:tcBorders>
              <w:top w:val="single" w:color="000000" w:sz="4" w:space="0"/>
              <w:left w:val="single" w:color="000000" w:sz="4" w:space="0"/>
              <w:bottom w:val="single" w:color="000000" w:sz="4" w:space="0"/>
              <w:right w:val="single" w:color="000000" w:sz="4" w:space="0"/>
            </w:tcBorders>
            <w:noWrap/>
            <w:vAlign w:val="center"/>
          </w:tcPr>
          <w:p w14:paraId="601659DF">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实施单位</w:t>
            </w:r>
          </w:p>
        </w:tc>
        <w:tc>
          <w:tcPr>
            <w:tcW w:w="2345" w:type="pct"/>
            <w:gridSpan w:val="3"/>
            <w:tcBorders>
              <w:top w:val="single" w:color="000000" w:sz="4" w:space="0"/>
              <w:left w:val="single" w:color="000000" w:sz="4" w:space="0"/>
              <w:bottom w:val="single" w:color="000000" w:sz="4" w:space="0"/>
              <w:right w:val="single" w:color="000000" w:sz="4" w:space="0"/>
            </w:tcBorders>
            <w:noWrap/>
            <w:vAlign w:val="center"/>
          </w:tcPr>
          <w:p w14:paraId="3E71FA0A">
            <w:pPr>
              <w:jc w:val="center"/>
              <w:rPr>
                <w:rFonts w:ascii="宋体" w:hAnsi="宋体" w:cs="宋体"/>
                <w:color w:val="000000"/>
                <w:sz w:val="16"/>
                <w:szCs w:val="16"/>
              </w:rPr>
            </w:pPr>
          </w:p>
        </w:tc>
      </w:tr>
      <w:tr w14:paraId="4A1F2F93">
        <w:tblPrEx>
          <w:tblCellMar>
            <w:top w:w="0" w:type="dxa"/>
            <w:left w:w="108" w:type="dxa"/>
            <w:bottom w:w="0" w:type="dxa"/>
            <w:right w:w="108" w:type="dxa"/>
          </w:tblCellMar>
        </w:tblPrEx>
        <w:trPr>
          <w:trHeight w:val="23" w:hRule="atLeast"/>
        </w:trPr>
        <w:tc>
          <w:tcPr>
            <w:tcW w:w="705" w:type="pct"/>
            <w:gridSpan w:val="2"/>
            <w:tcBorders>
              <w:top w:val="single" w:color="000000" w:sz="4" w:space="0"/>
              <w:left w:val="single" w:color="000000" w:sz="4" w:space="0"/>
              <w:bottom w:val="single" w:color="000000" w:sz="4" w:space="0"/>
              <w:right w:val="nil"/>
            </w:tcBorders>
            <w:noWrap/>
            <w:vAlign w:val="center"/>
          </w:tcPr>
          <w:p w14:paraId="0C24645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计划开始日期</w:t>
            </w:r>
          </w:p>
        </w:tc>
        <w:tc>
          <w:tcPr>
            <w:tcW w:w="994" w:type="pct"/>
            <w:gridSpan w:val="2"/>
            <w:tcBorders>
              <w:top w:val="single" w:color="000000" w:sz="4" w:space="0"/>
              <w:left w:val="single" w:color="000000" w:sz="4" w:space="0"/>
              <w:bottom w:val="single" w:color="000000" w:sz="4" w:space="0"/>
              <w:right w:val="single" w:color="000000" w:sz="4" w:space="0"/>
            </w:tcBorders>
            <w:noWrap/>
            <w:vAlign w:val="center"/>
          </w:tcPr>
          <w:p w14:paraId="1DA72A88">
            <w:pPr>
              <w:jc w:val="center"/>
              <w:rPr>
                <w:rFonts w:ascii="宋体" w:hAnsi="宋体" w:cs="宋体"/>
                <w:color w:val="000000"/>
                <w:sz w:val="16"/>
                <w:szCs w:val="16"/>
              </w:rPr>
            </w:pPr>
          </w:p>
        </w:tc>
        <w:tc>
          <w:tcPr>
            <w:tcW w:w="954" w:type="pct"/>
            <w:tcBorders>
              <w:top w:val="single" w:color="000000" w:sz="4" w:space="0"/>
              <w:left w:val="single" w:color="000000" w:sz="4" w:space="0"/>
              <w:bottom w:val="single" w:color="000000" w:sz="4" w:space="0"/>
              <w:right w:val="single" w:color="000000" w:sz="4" w:space="0"/>
            </w:tcBorders>
            <w:noWrap/>
            <w:vAlign w:val="center"/>
          </w:tcPr>
          <w:p w14:paraId="3F873117">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计划完成日期</w:t>
            </w:r>
          </w:p>
        </w:tc>
        <w:tc>
          <w:tcPr>
            <w:tcW w:w="2345" w:type="pct"/>
            <w:gridSpan w:val="3"/>
            <w:tcBorders>
              <w:top w:val="single" w:color="000000" w:sz="4" w:space="0"/>
              <w:left w:val="single" w:color="000000" w:sz="4" w:space="0"/>
              <w:bottom w:val="single" w:color="000000" w:sz="4" w:space="0"/>
              <w:right w:val="single" w:color="000000" w:sz="4" w:space="0"/>
            </w:tcBorders>
            <w:noWrap/>
            <w:vAlign w:val="center"/>
          </w:tcPr>
          <w:p w14:paraId="1652589F">
            <w:pPr>
              <w:jc w:val="center"/>
              <w:rPr>
                <w:rFonts w:ascii="宋体" w:hAnsi="宋体" w:cs="宋体"/>
                <w:color w:val="000000"/>
                <w:sz w:val="16"/>
                <w:szCs w:val="16"/>
              </w:rPr>
            </w:pPr>
          </w:p>
        </w:tc>
      </w:tr>
      <w:tr w14:paraId="65E520E0">
        <w:tblPrEx>
          <w:tblCellMar>
            <w:top w:w="0" w:type="dxa"/>
            <w:left w:w="108" w:type="dxa"/>
            <w:bottom w:w="0" w:type="dxa"/>
            <w:right w:w="108" w:type="dxa"/>
          </w:tblCellMar>
        </w:tblPrEx>
        <w:trPr>
          <w:trHeight w:val="23" w:hRule="atLeast"/>
        </w:trPr>
        <w:tc>
          <w:tcPr>
            <w:tcW w:w="70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433CC109">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项目资金</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（万元）</w:t>
            </w:r>
          </w:p>
        </w:tc>
        <w:tc>
          <w:tcPr>
            <w:tcW w:w="994" w:type="pct"/>
            <w:gridSpan w:val="2"/>
            <w:tcBorders>
              <w:top w:val="single" w:color="000000" w:sz="4" w:space="0"/>
              <w:left w:val="single" w:color="000000" w:sz="4" w:space="0"/>
              <w:bottom w:val="single" w:color="000000" w:sz="4" w:space="0"/>
              <w:right w:val="single" w:color="000000" w:sz="4" w:space="0"/>
            </w:tcBorders>
            <w:noWrap/>
            <w:vAlign w:val="center"/>
          </w:tcPr>
          <w:p w14:paraId="48FCADD7">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项目资金总额</w:t>
            </w:r>
          </w:p>
        </w:tc>
        <w:tc>
          <w:tcPr>
            <w:tcW w:w="954" w:type="pct"/>
            <w:tcBorders>
              <w:top w:val="single" w:color="000000" w:sz="4" w:space="0"/>
              <w:left w:val="nil"/>
              <w:bottom w:val="single" w:color="000000" w:sz="4" w:space="0"/>
              <w:right w:val="nil"/>
            </w:tcBorders>
            <w:noWrap/>
            <w:vAlign w:val="center"/>
          </w:tcPr>
          <w:p w14:paraId="1967EB0C">
            <w:pPr>
              <w:jc w:val="center"/>
              <w:rPr>
                <w:rFonts w:ascii="宋体" w:hAnsi="宋体" w:cs="宋体"/>
                <w:color w:val="000000"/>
                <w:sz w:val="16"/>
                <w:szCs w:val="16"/>
              </w:rPr>
            </w:pPr>
          </w:p>
        </w:tc>
        <w:tc>
          <w:tcPr>
            <w:tcW w:w="1815" w:type="pct"/>
            <w:gridSpan w:val="2"/>
            <w:tcBorders>
              <w:top w:val="single" w:color="000000" w:sz="4" w:space="0"/>
              <w:left w:val="single" w:color="000000" w:sz="4" w:space="0"/>
              <w:bottom w:val="single" w:color="000000" w:sz="4" w:space="0"/>
              <w:right w:val="single" w:color="000000" w:sz="4" w:space="0"/>
            </w:tcBorders>
            <w:noWrap/>
            <w:vAlign w:val="center"/>
          </w:tcPr>
          <w:p w14:paraId="78F56E8C">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年度资金申请总额</w:t>
            </w:r>
          </w:p>
        </w:tc>
        <w:tc>
          <w:tcPr>
            <w:tcW w:w="530" w:type="pct"/>
            <w:tcBorders>
              <w:top w:val="single" w:color="000000" w:sz="4" w:space="0"/>
              <w:left w:val="single" w:color="000000" w:sz="4" w:space="0"/>
              <w:bottom w:val="single" w:color="000000" w:sz="4" w:space="0"/>
              <w:right w:val="single" w:color="000000" w:sz="4" w:space="0"/>
            </w:tcBorders>
            <w:noWrap/>
            <w:vAlign w:val="center"/>
          </w:tcPr>
          <w:p w14:paraId="4D3FDAD1">
            <w:pPr>
              <w:jc w:val="center"/>
              <w:rPr>
                <w:rFonts w:ascii="宋体" w:hAnsi="宋体" w:cs="宋体"/>
                <w:color w:val="000000"/>
                <w:sz w:val="16"/>
                <w:szCs w:val="16"/>
              </w:rPr>
            </w:pPr>
          </w:p>
        </w:tc>
      </w:tr>
      <w:tr w14:paraId="774F86D1">
        <w:tblPrEx>
          <w:tblCellMar>
            <w:top w:w="0" w:type="dxa"/>
            <w:left w:w="108" w:type="dxa"/>
            <w:bottom w:w="0" w:type="dxa"/>
            <w:right w:w="108" w:type="dxa"/>
          </w:tblCellMar>
        </w:tblPrEx>
        <w:trPr>
          <w:trHeight w:val="23" w:hRule="atLeast"/>
        </w:trPr>
        <w:tc>
          <w:tcPr>
            <w:tcW w:w="70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D6F8F48">
            <w:pPr>
              <w:jc w:val="center"/>
              <w:rPr>
                <w:rFonts w:ascii="宋体" w:hAnsi="宋体" w:cs="宋体"/>
                <w:color w:val="000000"/>
                <w:sz w:val="16"/>
                <w:szCs w:val="16"/>
              </w:rPr>
            </w:pPr>
          </w:p>
        </w:tc>
        <w:tc>
          <w:tcPr>
            <w:tcW w:w="994"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45035A6C">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其中：财政资金</w:t>
            </w:r>
          </w:p>
        </w:tc>
        <w:tc>
          <w:tcPr>
            <w:tcW w:w="954" w:type="pct"/>
            <w:vMerge w:val="restart"/>
            <w:tcBorders>
              <w:top w:val="single" w:color="000000" w:sz="4" w:space="0"/>
              <w:left w:val="single" w:color="000000" w:sz="4" w:space="0"/>
              <w:bottom w:val="single" w:color="000000" w:sz="4" w:space="0"/>
              <w:right w:val="single" w:color="000000" w:sz="4" w:space="0"/>
            </w:tcBorders>
            <w:noWrap/>
            <w:vAlign w:val="center"/>
          </w:tcPr>
          <w:p w14:paraId="230F6939">
            <w:pPr>
              <w:jc w:val="center"/>
              <w:rPr>
                <w:rFonts w:ascii="宋体" w:hAnsi="宋体" w:cs="宋体"/>
                <w:color w:val="000000"/>
                <w:sz w:val="16"/>
                <w:szCs w:val="16"/>
              </w:rPr>
            </w:pPr>
          </w:p>
        </w:tc>
        <w:tc>
          <w:tcPr>
            <w:tcW w:w="1815" w:type="pct"/>
            <w:gridSpan w:val="2"/>
            <w:tcBorders>
              <w:top w:val="single" w:color="000000" w:sz="4" w:space="0"/>
              <w:left w:val="single" w:color="000000" w:sz="4" w:space="0"/>
              <w:bottom w:val="single" w:color="000000" w:sz="4" w:space="0"/>
              <w:right w:val="single" w:color="000000" w:sz="4" w:space="0"/>
            </w:tcBorders>
            <w:noWrap/>
            <w:vAlign w:val="center"/>
          </w:tcPr>
          <w:p w14:paraId="33DB21B8">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其中：当年财政拨款</w:t>
            </w:r>
          </w:p>
        </w:tc>
        <w:tc>
          <w:tcPr>
            <w:tcW w:w="530" w:type="pct"/>
            <w:tcBorders>
              <w:top w:val="single" w:color="000000" w:sz="4" w:space="0"/>
              <w:left w:val="single" w:color="000000" w:sz="4" w:space="0"/>
              <w:bottom w:val="nil"/>
              <w:right w:val="single" w:color="000000" w:sz="4" w:space="0"/>
            </w:tcBorders>
            <w:noWrap/>
            <w:vAlign w:val="center"/>
          </w:tcPr>
          <w:p w14:paraId="0E222411">
            <w:pPr>
              <w:jc w:val="center"/>
              <w:rPr>
                <w:rFonts w:ascii="宋体" w:hAnsi="宋体" w:cs="宋体"/>
                <w:color w:val="000000"/>
                <w:sz w:val="16"/>
                <w:szCs w:val="16"/>
              </w:rPr>
            </w:pPr>
          </w:p>
        </w:tc>
      </w:tr>
      <w:tr w14:paraId="26C6FE4D">
        <w:tblPrEx>
          <w:tblCellMar>
            <w:top w:w="0" w:type="dxa"/>
            <w:left w:w="108" w:type="dxa"/>
            <w:bottom w:w="0" w:type="dxa"/>
            <w:right w:w="108" w:type="dxa"/>
          </w:tblCellMar>
        </w:tblPrEx>
        <w:trPr>
          <w:trHeight w:val="23" w:hRule="atLeast"/>
        </w:trPr>
        <w:tc>
          <w:tcPr>
            <w:tcW w:w="70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0A3527D">
            <w:pPr>
              <w:jc w:val="center"/>
              <w:rPr>
                <w:rFonts w:ascii="宋体" w:hAnsi="宋体" w:cs="宋体"/>
                <w:color w:val="000000"/>
                <w:sz w:val="16"/>
                <w:szCs w:val="16"/>
              </w:rPr>
            </w:pPr>
          </w:p>
        </w:tc>
        <w:tc>
          <w:tcPr>
            <w:tcW w:w="994"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FB63FCE">
            <w:pPr>
              <w:jc w:val="center"/>
              <w:rPr>
                <w:rFonts w:ascii="宋体" w:hAnsi="宋体" w:cs="宋体"/>
                <w:color w:val="000000"/>
                <w:sz w:val="16"/>
                <w:szCs w:val="16"/>
              </w:rPr>
            </w:pPr>
          </w:p>
        </w:tc>
        <w:tc>
          <w:tcPr>
            <w:tcW w:w="954" w:type="pct"/>
            <w:vMerge w:val="continue"/>
            <w:tcBorders>
              <w:top w:val="single" w:color="000000" w:sz="4" w:space="0"/>
              <w:left w:val="single" w:color="000000" w:sz="4" w:space="0"/>
              <w:bottom w:val="single" w:color="000000" w:sz="4" w:space="0"/>
              <w:right w:val="single" w:color="000000" w:sz="4" w:space="0"/>
            </w:tcBorders>
            <w:noWrap/>
            <w:vAlign w:val="center"/>
          </w:tcPr>
          <w:p w14:paraId="23A68FEA">
            <w:pPr>
              <w:jc w:val="center"/>
              <w:rPr>
                <w:rFonts w:ascii="宋体" w:hAnsi="宋体" w:cs="宋体"/>
                <w:color w:val="000000"/>
                <w:sz w:val="16"/>
                <w:szCs w:val="16"/>
              </w:rPr>
            </w:pPr>
          </w:p>
        </w:tc>
        <w:tc>
          <w:tcPr>
            <w:tcW w:w="1815" w:type="pct"/>
            <w:gridSpan w:val="2"/>
            <w:tcBorders>
              <w:top w:val="single" w:color="000000" w:sz="4" w:space="0"/>
              <w:left w:val="single" w:color="000000" w:sz="4" w:space="0"/>
              <w:bottom w:val="single" w:color="000000" w:sz="4" w:space="0"/>
              <w:right w:val="single" w:color="000000" w:sz="4" w:space="0"/>
            </w:tcBorders>
            <w:noWrap/>
            <w:vAlign w:val="center"/>
          </w:tcPr>
          <w:p w14:paraId="2574E2B7">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 xml:space="preserve">      上年结转资金</w:t>
            </w:r>
          </w:p>
        </w:tc>
        <w:tc>
          <w:tcPr>
            <w:tcW w:w="530" w:type="pct"/>
            <w:tcBorders>
              <w:top w:val="single" w:color="000000" w:sz="4" w:space="0"/>
              <w:left w:val="single" w:color="000000" w:sz="4" w:space="0"/>
              <w:bottom w:val="nil"/>
              <w:right w:val="single" w:color="000000" w:sz="4" w:space="0"/>
            </w:tcBorders>
            <w:noWrap/>
            <w:vAlign w:val="center"/>
          </w:tcPr>
          <w:p w14:paraId="626BE63D">
            <w:pPr>
              <w:jc w:val="center"/>
              <w:rPr>
                <w:rFonts w:ascii="宋体" w:hAnsi="宋体" w:cs="宋体"/>
                <w:color w:val="000000"/>
                <w:sz w:val="16"/>
                <w:szCs w:val="16"/>
              </w:rPr>
            </w:pPr>
          </w:p>
        </w:tc>
      </w:tr>
      <w:tr w14:paraId="17B2E79E">
        <w:tblPrEx>
          <w:tblCellMar>
            <w:top w:w="0" w:type="dxa"/>
            <w:left w:w="108" w:type="dxa"/>
            <w:bottom w:w="0" w:type="dxa"/>
            <w:right w:w="108" w:type="dxa"/>
          </w:tblCellMar>
        </w:tblPrEx>
        <w:trPr>
          <w:trHeight w:val="23" w:hRule="atLeast"/>
        </w:trPr>
        <w:tc>
          <w:tcPr>
            <w:tcW w:w="70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B29D769">
            <w:pPr>
              <w:jc w:val="center"/>
              <w:rPr>
                <w:rFonts w:ascii="宋体" w:hAnsi="宋体" w:cs="宋体"/>
                <w:color w:val="000000"/>
                <w:sz w:val="16"/>
                <w:szCs w:val="16"/>
              </w:rPr>
            </w:pPr>
          </w:p>
        </w:tc>
        <w:tc>
          <w:tcPr>
            <w:tcW w:w="994" w:type="pct"/>
            <w:gridSpan w:val="2"/>
            <w:tcBorders>
              <w:top w:val="single" w:color="000000" w:sz="4" w:space="0"/>
              <w:left w:val="single" w:color="000000" w:sz="4" w:space="0"/>
              <w:bottom w:val="single" w:color="000000" w:sz="4" w:space="0"/>
              <w:right w:val="single" w:color="000000" w:sz="4" w:space="0"/>
            </w:tcBorders>
            <w:noWrap/>
            <w:vAlign w:val="center"/>
          </w:tcPr>
          <w:p w14:paraId="106DA716">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其他资金</w:t>
            </w:r>
          </w:p>
        </w:tc>
        <w:tc>
          <w:tcPr>
            <w:tcW w:w="954" w:type="pct"/>
            <w:tcBorders>
              <w:top w:val="single" w:color="000000" w:sz="4" w:space="0"/>
              <w:left w:val="nil"/>
              <w:bottom w:val="single" w:color="000000" w:sz="4" w:space="0"/>
              <w:right w:val="nil"/>
            </w:tcBorders>
            <w:noWrap/>
            <w:vAlign w:val="center"/>
          </w:tcPr>
          <w:p w14:paraId="02AE08EF">
            <w:pPr>
              <w:rPr>
                <w:rFonts w:ascii="宋体" w:hAnsi="宋体" w:cs="宋体"/>
                <w:color w:val="000000"/>
                <w:sz w:val="16"/>
                <w:szCs w:val="16"/>
              </w:rPr>
            </w:pPr>
          </w:p>
        </w:tc>
        <w:tc>
          <w:tcPr>
            <w:tcW w:w="1815" w:type="pct"/>
            <w:gridSpan w:val="2"/>
            <w:tcBorders>
              <w:top w:val="single" w:color="000000" w:sz="4" w:space="0"/>
              <w:left w:val="single" w:color="000000" w:sz="4" w:space="0"/>
              <w:bottom w:val="single" w:color="000000" w:sz="4" w:space="0"/>
              <w:right w:val="single" w:color="000000" w:sz="4" w:space="0"/>
            </w:tcBorders>
            <w:noWrap/>
            <w:vAlign w:val="center"/>
          </w:tcPr>
          <w:p w14:paraId="172C77E4">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 xml:space="preserve">      其他资金</w:t>
            </w:r>
          </w:p>
        </w:tc>
        <w:tc>
          <w:tcPr>
            <w:tcW w:w="530" w:type="pct"/>
            <w:tcBorders>
              <w:top w:val="single" w:color="000000" w:sz="4" w:space="0"/>
              <w:left w:val="single" w:color="000000" w:sz="4" w:space="0"/>
              <w:bottom w:val="nil"/>
              <w:right w:val="single" w:color="000000" w:sz="4" w:space="0"/>
            </w:tcBorders>
            <w:noWrap/>
            <w:vAlign w:val="center"/>
          </w:tcPr>
          <w:p w14:paraId="6DB89A57">
            <w:pPr>
              <w:jc w:val="center"/>
              <w:rPr>
                <w:rFonts w:ascii="宋体" w:hAnsi="宋体" w:cs="宋体"/>
                <w:color w:val="000000"/>
                <w:sz w:val="16"/>
                <w:szCs w:val="16"/>
              </w:rPr>
            </w:pPr>
          </w:p>
        </w:tc>
      </w:tr>
      <w:tr w14:paraId="2D111B41">
        <w:tblPrEx>
          <w:tblCellMar>
            <w:top w:w="0" w:type="dxa"/>
            <w:left w:w="108" w:type="dxa"/>
            <w:bottom w:w="0" w:type="dxa"/>
            <w:right w:w="108" w:type="dxa"/>
          </w:tblCellMar>
        </w:tblPrEx>
        <w:trPr>
          <w:trHeight w:val="23" w:hRule="atLeast"/>
        </w:trPr>
        <w:tc>
          <w:tcPr>
            <w:tcW w:w="344" w:type="pct"/>
            <w:vMerge w:val="restart"/>
            <w:tcBorders>
              <w:top w:val="single" w:color="000000" w:sz="4" w:space="0"/>
              <w:left w:val="single" w:color="000000" w:sz="4" w:space="0"/>
              <w:bottom w:val="single" w:color="000000" w:sz="4" w:space="0"/>
              <w:right w:val="nil"/>
            </w:tcBorders>
            <w:noWrap/>
            <w:vAlign w:val="center"/>
          </w:tcPr>
          <w:p w14:paraId="171CDBE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绩效</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目标</w:t>
            </w:r>
          </w:p>
        </w:tc>
        <w:tc>
          <w:tcPr>
            <w:tcW w:w="2309" w:type="pct"/>
            <w:gridSpan w:val="4"/>
            <w:tcBorders>
              <w:top w:val="single" w:color="000000" w:sz="4" w:space="0"/>
              <w:left w:val="single" w:color="000000" w:sz="4" w:space="0"/>
              <w:bottom w:val="single" w:color="000000" w:sz="4" w:space="0"/>
              <w:right w:val="single" w:color="000000" w:sz="4" w:space="0"/>
            </w:tcBorders>
            <w:noWrap/>
            <w:vAlign w:val="center"/>
          </w:tcPr>
          <w:p w14:paraId="51A5BA9B">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项目总目标</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（20   年-20   年）</w:t>
            </w:r>
          </w:p>
        </w:tc>
        <w:tc>
          <w:tcPr>
            <w:tcW w:w="2345" w:type="pct"/>
            <w:gridSpan w:val="3"/>
            <w:tcBorders>
              <w:top w:val="single" w:color="000000" w:sz="4" w:space="0"/>
              <w:left w:val="single" w:color="000000" w:sz="4" w:space="0"/>
              <w:bottom w:val="single" w:color="000000" w:sz="4" w:space="0"/>
              <w:right w:val="single" w:color="000000" w:sz="4" w:space="0"/>
            </w:tcBorders>
            <w:noWrap/>
            <w:vAlign w:val="center"/>
          </w:tcPr>
          <w:p w14:paraId="67AD55BC">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年度总体目标</w:t>
            </w:r>
          </w:p>
        </w:tc>
      </w:tr>
      <w:tr w14:paraId="3FBA6C51">
        <w:tblPrEx>
          <w:tblCellMar>
            <w:top w:w="0" w:type="dxa"/>
            <w:left w:w="108" w:type="dxa"/>
            <w:bottom w:w="0" w:type="dxa"/>
            <w:right w:w="108" w:type="dxa"/>
          </w:tblCellMar>
        </w:tblPrEx>
        <w:trPr>
          <w:trHeight w:val="1567" w:hRule="atLeast"/>
        </w:trPr>
        <w:tc>
          <w:tcPr>
            <w:tcW w:w="344" w:type="pct"/>
            <w:vMerge w:val="continue"/>
            <w:tcBorders>
              <w:top w:val="single" w:color="000000" w:sz="4" w:space="0"/>
              <w:left w:val="single" w:color="000000" w:sz="4" w:space="0"/>
              <w:bottom w:val="single" w:color="000000" w:sz="4" w:space="0"/>
              <w:right w:val="nil"/>
            </w:tcBorders>
            <w:noWrap/>
            <w:vAlign w:val="center"/>
          </w:tcPr>
          <w:p w14:paraId="662E725A">
            <w:pPr>
              <w:jc w:val="center"/>
              <w:rPr>
                <w:rFonts w:ascii="宋体" w:hAnsi="宋体" w:cs="宋体"/>
                <w:color w:val="000000"/>
                <w:sz w:val="16"/>
                <w:szCs w:val="16"/>
              </w:rPr>
            </w:pPr>
          </w:p>
        </w:tc>
        <w:tc>
          <w:tcPr>
            <w:tcW w:w="2309" w:type="pct"/>
            <w:gridSpan w:val="4"/>
            <w:tcBorders>
              <w:top w:val="single" w:color="000000" w:sz="4" w:space="0"/>
              <w:left w:val="single" w:color="000000" w:sz="4" w:space="0"/>
              <w:bottom w:val="single" w:color="000000" w:sz="4" w:space="0"/>
              <w:right w:val="single" w:color="000000" w:sz="4" w:space="0"/>
            </w:tcBorders>
            <w:noWrap/>
            <w:vAlign w:val="center"/>
          </w:tcPr>
          <w:p w14:paraId="7C2FAED3">
            <w:pPr>
              <w:rPr>
                <w:sz w:val="16"/>
                <w:szCs w:val="16"/>
              </w:rPr>
            </w:pPr>
          </w:p>
        </w:tc>
        <w:tc>
          <w:tcPr>
            <w:tcW w:w="2345" w:type="pct"/>
            <w:gridSpan w:val="3"/>
            <w:tcBorders>
              <w:top w:val="single" w:color="000000" w:sz="4" w:space="0"/>
              <w:left w:val="single" w:color="000000" w:sz="4" w:space="0"/>
              <w:bottom w:val="single" w:color="000000" w:sz="4" w:space="0"/>
              <w:right w:val="single" w:color="000000" w:sz="4" w:space="0"/>
            </w:tcBorders>
            <w:noWrap/>
            <w:vAlign w:val="center"/>
          </w:tcPr>
          <w:p w14:paraId="12107C06">
            <w:pPr>
              <w:rPr>
                <w:rFonts w:ascii="宋体" w:hAnsi="宋体" w:cs="宋体"/>
                <w:color w:val="000000"/>
                <w:sz w:val="16"/>
                <w:szCs w:val="16"/>
              </w:rPr>
            </w:pPr>
          </w:p>
        </w:tc>
      </w:tr>
      <w:tr w14:paraId="324AD755">
        <w:tblPrEx>
          <w:tblCellMar>
            <w:top w:w="0" w:type="dxa"/>
            <w:left w:w="108" w:type="dxa"/>
            <w:bottom w:w="0" w:type="dxa"/>
            <w:right w:w="108" w:type="dxa"/>
          </w:tblCellMar>
        </w:tblPrEx>
        <w:trPr>
          <w:trHeight w:val="23" w:hRule="atLeast"/>
        </w:trPr>
        <w:tc>
          <w:tcPr>
            <w:tcW w:w="344"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7B711347">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绩效指标</w:t>
            </w:r>
          </w:p>
        </w:tc>
        <w:tc>
          <w:tcPr>
            <w:tcW w:w="651" w:type="pct"/>
            <w:gridSpan w:val="2"/>
            <w:tcBorders>
              <w:top w:val="single" w:color="000000" w:sz="4" w:space="0"/>
              <w:left w:val="single" w:color="000000" w:sz="4" w:space="0"/>
              <w:bottom w:val="single" w:color="000000" w:sz="4" w:space="0"/>
              <w:right w:val="single" w:color="000000" w:sz="4" w:space="0"/>
            </w:tcBorders>
            <w:noWrap/>
            <w:vAlign w:val="center"/>
          </w:tcPr>
          <w:p w14:paraId="152C6246">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一级指标</w:t>
            </w:r>
          </w:p>
        </w:tc>
        <w:tc>
          <w:tcPr>
            <w:tcW w:w="704" w:type="pct"/>
            <w:tcBorders>
              <w:top w:val="single" w:color="000000" w:sz="4" w:space="0"/>
              <w:left w:val="single" w:color="000000" w:sz="4" w:space="0"/>
              <w:bottom w:val="single" w:color="000000" w:sz="4" w:space="0"/>
              <w:right w:val="single" w:color="000000" w:sz="4" w:space="0"/>
            </w:tcBorders>
            <w:noWrap/>
            <w:vAlign w:val="center"/>
          </w:tcPr>
          <w:p w14:paraId="0E0A71B1">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二级指标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21E4C2E0">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三级指标</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3F42010F">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年度指标值</w:t>
            </w:r>
          </w:p>
        </w:tc>
      </w:tr>
      <w:tr w14:paraId="1D2100DA">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6AFBF66">
            <w:pPr>
              <w:jc w:val="center"/>
              <w:rPr>
                <w:rFonts w:ascii="宋体" w:hAnsi="宋体" w:cs="宋体"/>
                <w:color w:val="000000"/>
                <w:sz w:val="16"/>
                <w:szCs w:val="16"/>
              </w:rPr>
            </w:pPr>
          </w:p>
        </w:tc>
        <w:tc>
          <w:tcPr>
            <w:tcW w:w="651"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7BD9F9D2">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成本指标</w:t>
            </w:r>
          </w:p>
        </w:tc>
        <w:tc>
          <w:tcPr>
            <w:tcW w:w="704" w:type="pct"/>
            <w:vMerge w:val="restart"/>
            <w:tcBorders>
              <w:top w:val="single" w:color="000000" w:sz="4" w:space="0"/>
              <w:left w:val="single" w:color="000000" w:sz="4" w:space="0"/>
              <w:right w:val="single" w:color="000000" w:sz="4" w:space="0"/>
            </w:tcBorders>
            <w:noWrap/>
            <w:vAlign w:val="center"/>
          </w:tcPr>
          <w:p w14:paraId="6517ACA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经济成本指标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4359F79E">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66312C2C">
            <w:pPr>
              <w:jc w:val="center"/>
              <w:rPr>
                <w:rFonts w:ascii="宋体" w:hAnsi="宋体" w:cs="宋体"/>
                <w:color w:val="000000"/>
                <w:sz w:val="16"/>
                <w:szCs w:val="16"/>
              </w:rPr>
            </w:pPr>
          </w:p>
        </w:tc>
      </w:tr>
      <w:tr w14:paraId="1EFF764E">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63310CC">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A05D575">
            <w:pPr>
              <w:jc w:val="center"/>
              <w:rPr>
                <w:rFonts w:ascii="宋体" w:hAnsi="宋体" w:cs="宋体"/>
                <w:color w:val="000000"/>
                <w:sz w:val="16"/>
                <w:szCs w:val="16"/>
              </w:rPr>
            </w:pPr>
          </w:p>
        </w:tc>
        <w:tc>
          <w:tcPr>
            <w:tcW w:w="704" w:type="pct"/>
            <w:vMerge w:val="continue"/>
            <w:tcBorders>
              <w:left w:val="single" w:color="000000" w:sz="4" w:space="0"/>
              <w:bottom w:val="single" w:color="000000" w:sz="4" w:space="0"/>
              <w:right w:val="single" w:color="000000" w:sz="4" w:space="0"/>
            </w:tcBorders>
            <w:noWrap/>
            <w:vAlign w:val="center"/>
          </w:tcPr>
          <w:p w14:paraId="2B342C9A">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42615308">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48193AA0">
            <w:pPr>
              <w:jc w:val="center"/>
              <w:rPr>
                <w:rFonts w:ascii="宋体" w:hAnsi="宋体" w:cs="宋体"/>
                <w:color w:val="000000"/>
                <w:sz w:val="16"/>
                <w:szCs w:val="16"/>
              </w:rPr>
            </w:pPr>
          </w:p>
        </w:tc>
      </w:tr>
      <w:tr w14:paraId="2D899A50">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4E11C70">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78BBE62">
            <w:pPr>
              <w:jc w:val="center"/>
              <w:rPr>
                <w:rFonts w:ascii="宋体" w:hAnsi="宋体" w:cs="宋体"/>
                <w:color w:val="000000"/>
                <w:sz w:val="16"/>
                <w:szCs w:val="16"/>
              </w:rPr>
            </w:pPr>
          </w:p>
        </w:tc>
        <w:tc>
          <w:tcPr>
            <w:tcW w:w="704" w:type="pct"/>
            <w:vMerge w:val="restart"/>
            <w:tcBorders>
              <w:top w:val="single" w:color="000000" w:sz="4" w:space="0"/>
              <w:left w:val="single" w:color="000000" w:sz="4" w:space="0"/>
              <w:right w:val="single" w:color="000000" w:sz="4" w:space="0"/>
            </w:tcBorders>
            <w:noWrap/>
            <w:vAlign w:val="center"/>
          </w:tcPr>
          <w:p w14:paraId="582149F8">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社会成本指标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74FDD419">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39150286">
            <w:pPr>
              <w:jc w:val="center"/>
              <w:rPr>
                <w:rFonts w:ascii="宋体" w:hAnsi="宋体" w:cs="宋体"/>
                <w:color w:val="000000"/>
                <w:sz w:val="16"/>
                <w:szCs w:val="16"/>
              </w:rPr>
            </w:pPr>
          </w:p>
        </w:tc>
      </w:tr>
      <w:tr w14:paraId="76EC9017">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CD69975">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C6EC388">
            <w:pPr>
              <w:jc w:val="center"/>
              <w:rPr>
                <w:rFonts w:ascii="宋体" w:hAnsi="宋体" w:cs="宋体"/>
                <w:color w:val="000000"/>
                <w:sz w:val="16"/>
                <w:szCs w:val="16"/>
              </w:rPr>
            </w:pPr>
          </w:p>
        </w:tc>
        <w:tc>
          <w:tcPr>
            <w:tcW w:w="704" w:type="pct"/>
            <w:vMerge w:val="continue"/>
            <w:tcBorders>
              <w:left w:val="single" w:color="000000" w:sz="4" w:space="0"/>
              <w:bottom w:val="single" w:color="000000" w:sz="4" w:space="0"/>
              <w:right w:val="single" w:color="000000" w:sz="4" w:space="0"/>
            </w:tcBorders>
            <w:noWrap/>
            <w:vAlign w:val="center"/>
          </w:tcPr>
          <w:p w14:paraId="5F47921F">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050A9789">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512A316C">
            <w:pPr>
              <w:jc w:val="center"/>
              <w:rPr>
                <w:rFonts w:ascii="宋体" w:hAnsi="宋体" w:cs="宋体"/>
                <w:color w:val="000000"/>
                <w:sz w:val="16"/>
                <w:szCs w:val="16"/>
              </w:rPr>
            </w:pPr>
          </w:p>
        </w:tc>
      </w:tr>
      <w:tr w14:paraId="5E60849B">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B7A4C94">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0E40B32">
            <w:pPr>
              <w:jc w:val="center"/>
              <w:rPr>
                <w:rFonts w:ascii="宋体" w:hAnsi="宋体" w:cs="宋体"/>
                <w:color w:val="000000"/>
                <w:sz w:val="16"/>
                <w:szCs w:val="16"/>
              </w:rPr>
            </w:pPr>
          </w:p>
        </w:tc>
        <w:tc>
          <w:tcPr>
            <w:tcW w:w="704" w:type="pct"/>
            <w:vMerge w:val="restart"/>
            <w:tcBorders>
              <w:top w:val="single" w:color="000000" w:sz="4" w:space="0"/>
              <w:left w:val="single" w:color="000000" w:sz="4" w:space="0"/>
              <w:right w:val="single" w:color="000000" w:sz="4" w:space="0"/>
            </w:tcBorders>
            <w:noWrap/>
            <w:vAlign w:val="center"/>
          </w:tcPr>
          <w:p w14:paraId="4E820D5B">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生态环境成本指标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6A964320">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20947B16">
            <w:pPr>
              <w:jc w:val="center"/>
              <w:rPr>
                <w:rFonts w:ascii="宋体" w:hAnsi="宋体" w:cs="宋体"/>
                <w:color w:val="000000"/>
                <w:sz w:val="16"/>
                <w:szCs w:val="16"/>
              </w:rPr>
            </w:pPr>
          </w:p>
        </w:tc>
      </w:tr>
      <w:tr w14:paraId="54EBC42C">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FEB1C6D">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4256139">
            <w:pPr>
              <w:jc w:val="center"/>
              <w:rPr>
                <w:rFonts w:ascii="宋体" w:hAnsi="宋体" w:cs="宋体"/>
                <w:color w:val="000000"/>
                <w:sz w:val="16"/>
                <w:szCs w:val="16"/>
              </w:rPr>
            </w:pPr>
          </w:p>
        </w:tc>
        <w:tc>
          <w:tcPr>
            <w:tcW w:w="704" w:type="pct"/>
            <w:vMerge w:val="continue"/>
            <w:tcBorders>
              <w:left w:val="single" w:color="000000" w:sz="4" w:space="0"/>
              <w:bottom w:val="single" w:color="000000" w:sz="4" w:space="0"/>
              <w:right w:val="single" w:color="000000" w:sz="4" w:space="0"/>
            </w:tcBorders>
            <w:noWrap/>
            <w:vAlign w:val="center"/>
          </w:tcPr>
          <w:p w14:paraId="69C1D004">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242EFE41">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7E4B1456">
            <w:pPr>
              <w:jc w:val="center"/>
              <w:rPr>
                <w:rFonts w:ascii="宋体" w:hAnsi="宋体" w:cs="宋体"/>
                <w:color w:val="000000"/>
                <w:sz w:val="16"/>
                <w:szCs w:val="16"/>
              </w:rPr>
            </w:pPr>
          </w:p>
        </w:tc>
      </w:tr>
      <w:tr w14:paraId="541F27A1">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74CED24">
            <w:pPr>
              <w:jc w:val="center"/>
              <w:rPr>
                <w:rFonts w:ascii="宋体" w:hAnsi="宋体" w:cs="宋体"/>
                <w:color w:val="000000"/>
                <w:sz w:val="16"/>
                <w:szCs w:val="16"/>
              </w:rPr>
            </w:pPr>
          </w:p>
        </w:tc>
        <w:tc>
          <w:tcPr>
            <w:tcW w:w="651"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1E9886C9">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产出指标</w:t>
            </w:r>
          </w:p>
        </w:tc>
        <w:tc>
          <w:tcPr>
            <w:tcW w:w="704" w:type="pct"/>
            <w:vMerge w:val="restart"/>
            <w:tcBorders>
              <w:top w:val="single" w:color="000000" w:sz="4" w:space="0"/>
              <w:left w:val="single" w:color="000000" w:sz="4" w:space="0"/>
              <w:right w:val="single" w:color="000000" w:sz="4" w:space="0"/>
            </w:tcBorders>
            <w:noWrap/>
            <w:vAlign w:val="center"/>
          </w:tcPr>
          <w:p w14:paraId="4AC18519">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数量指标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61C65BF2">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1AFA49BD">
            <w:pPr>
              <w:jc w:val="center"/>
              <w:rPr>
                <w:rFonts w:ascii="宋体" w:hAnsi="宋体" w:cs="宋体"/>
                <w:color w:val="000000"/>
                <w:sz w:val="16"/>
                <w:szCs w:val="16"/>
              </w:rPr>
            </w:pPr>
          </w:p>
        </w:tc>
      </w:tr>
      <w:tr w14:paraId="50F1DB14">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E5329F3">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5AB022C">
            <w:pPr>
              <w:jc w:val="center"/>
              <w:rPr>
                <w:rFonts w:ascii="宋体" w:hAnsi="宋体" w:cs="宋体"/>
                <w:color w:val="000000"/>
                <w:sz w:val="16"/>
                <w:szCs w:val="16"/>
              </w:rPr>
            </w:pPr>
          </w:p>
        </w:tc>
        <w:tc>
          <w:tcPr>
            <w:tcW w:w="704" w:type="pct"/>
            <w:vMerge w:val="continue"/>
            <w:tcBorders>
              <w:left w:val="single" w:color="000000" w:sz="4" w:space="0"/>
              <w:bottom w:val="single" w:color="000000" w:sz="4" w:space="0"/>
              <w:right w:val="single" w:color="000000" w:sz="4" w:space="0"/>
            </w:tcBorders>
            <w:noWrap/>
            <w:vAlign w:val="center"/>
          </w:tcPr>
          <w:p w14:paraId="3E86F4A6">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176F94C8">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7C1AB591">
            <w:pPr>
              <w:jc w:val="center"/>
              <w:rPr>
                <w:rFonts w:ascii="宋体" w:hAnsi="宋体" w:cs="宋体"/>
                <w:color w:val="000000"/>
                <w:sz w:val="16"/>
                <w:szCs w:val="16"/>
              </w:rPr>
            </w:pPr>
          </w:p>
        </w:tc>
      </w:tr>
      <w:tr w14:paraId="65B1B08C">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14EFDB1">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5808678">
            <w:pPr>
              <w:jc w:val="center"/>
              <w:rPr>
                <w:rFonts w:ascii="宋体" w:hAnsi="宋体" w:cs="宋体"/>
                <w:color w:val="000000"/>
                <w:sz w:val="16"/>
                <w:szCs w:val="16"/>
              </w:rPr>
            </w:pP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4110A459">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质量指标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53121679">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2EC824A6">
            <w:pPr>
              <w:jc w:val="center"/>
              <w:rPr>
                <w:rFonts w:ascii="宋体" w:hAnsi="宋体" w:cs="宋体"/>
                <w:color w:val="000000"/>
                <w:sz w:val="16"/>
                <w:szCs w:val="16"/>
              </w:rPr>
            </w:pPr>
          </w:p>
        </w:tc>
      </w:tr>
      <w:tr w14:paraId="38CA05D9">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82458A0">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47555F1">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21474D69">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10004A02">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27F2BFA9">
            <w:pPr>
              <w:jc w:val="center"/>
              <w:rPr>
                <w:rFonts w:ascii="宋体" w:hAnsi="宋体" w:cs="宋体"/>
                <w:color w:val="000000"/>
                <w:sz w:val="16"/>
                <w:szCs w:val="16"/>
              </w:rPr>
            </w:pPr>
          </w:p>
        </w:tc>
      </w:tr>
      <w:tr w14:paraId="7CC7D303">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025899C">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23D7B75">
            <w:pPr>
              <w:jc w:val="center"/>
              <w:rPr>
                <w:rFonts w:ascii="宋体" w:hAnsi="宋体" w:cs="宋体"/>
                <w:color w:val="000000"/>
                <w:sz w:val="16"/>
                <w:szCs w:val="16"/>
              </w:rPr>
            </w:pP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7BAB6CA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时效指标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5E99703A">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243C81C0">
            <w:pPr>
              <w:jc w:val="center"/>
              <w:rPr>
                <w:rFonts w:ascii="宋体" w:hAnsi="宋体" w:cs="宋体"/>
                <w:color w:val="000000"/>
                <w:sz w:val="16"/>
                <w:szCs w:val="16"/>
              </w:rPr>
            </w:pPr>
          </w:p>
        </w:tc>
      </w:tr>
      <w:tr w14:paraId="4FB37C40">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D94E0E1">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38A6DF7">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3D32ADFB">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2577F34B">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16BA4CF1">
            <w:pPr>
              <w:jc w:val="center"/>
              <w:rPr>
                <w:rFonts w:ascii="宋体" w:hAnsi="宋体" w:cs="宋体"/>
                <w:color w:val="000000"/>
                <w:sz w:val="16"/>
                <w:szCs w:val="16"/>
              </w:rPr>
            </w:pPr>
          </w:p>
        </w:tc>
      </w:tr>
      <w:tr w14:paraId="17386661">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8D36B49">
            <w:pPr>
              <w:jc w:val="center"/>
              <w:rPr>
                <w:rFonts w:ascii="宋体" w:hAnsi="宋体" w:cs="宋体"/>
                <w:color w:val="000000"/>
                <w:sz w:val="16"/>
                <w:szCs w:val="16"/>
              </w:rPr>
            </w:pPr>
          </w:p>
        </w:tc>
        <w:tc>
          <w:tcPr>
            <w:tcW w:w="651" w:type="pct"/>
            <w:gridSpan w:val="2"/>
            <w:vMerge w:val="restart"/>
            <w:tcBorders>
              <w:top w:val="single" w:color="000000" w:sz="4" w:space="0"/>
              <w:left w:val="single" w:color="000000" w:sz="4" w:space="0"/>
              <w:right w:val="single" w:color="000000" w:sz="4" w:space="0"/>
            </w:tcBorders>
            <w:noWrap/>
            <w:vAlign w:val="center"/>
          </w:tcPr>
          <w:p w14:paraId="21AF3EF8">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效益指标</w:t>
            </w: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5B877A1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经济效益指标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4E7144B6">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13ACA994">
            <w:pPr>
              <w:jc w:val="center"/>
              <w:rPr>
                <w:rFonts w:ascii="宋体" w:hAnsi="宋体" w:cs="宋体"/>
                <w:color w:val="000000"/>
                <w:sz w:val="16"/>
                <w:szCs w:val="16"/>
              </w:rPr>
            </w:pPr>
          </w:p>
        </w:tc>
      </w:tr>
      <w:tr w14:paraId="1F5B35FA">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6BEB5A6">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7DFD6F7E">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055F78B7">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06E8EC6C">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0D9B6F03">
            <w:pPr>
              <w:jc w:val="center"/>
              <w:rPr>
                <w:rFonts w:ascii="宋体" w:hAnsi="宋体" w:cs="宋体"/>
                <w:color w:val="000000"/>
                <w:sz w:val="16"/>
                <w:szCs w:val="16"/>
              </w:rPr>
            </w:pPr>
          </w:p>
        </w:tc>
      </w:tr>
      <w:tr w14:paraId="6B0B20DD">
        <w:tblPrEx>
          <w:tblCellMar>
            <w:top w:w="0" w:type="dxa"/>
            <w:left w:w="108" w:type="dxa"/>
            <w:bottom w:w="0" w:type="dxa"/>
            <w:right w:w="108" w:type="dxa"/>
          </w:tblCellMar>
        </w:tblPrEx>
        <w:trPr>
          <w:trHeight w:val="90"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CA6ADCE">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07EE8039">
            <w:pPr>
              <w:jc w:val="center"/>
              <w:rPr>
                <w:rFonts w:ascii="宋体" w:hAnsi="宋体" w:cs="宋体"/>
                <w:color w:val="000000"/>
                <w:sz w:val="16"/>
                <w:szCs w:val="16"/>
              </w:rPr>
            </w:pPr>
          </w:p>
        </w:tc>
        <w:tc>
          <w:tcPr>
            <w:tcW w:w="704" w:type="pct"/>
            <w:vMerge w:val="restart"/>
            <w:tcBorders>
              <w:top w:val="single" w:color="000000" w:sz="4" w:space="0"/>
              <w:left w:val="single" w:color="000000" w:sz="4" w:space="0"/>
              <w:right w:val="single" w:color="000000" w:sz="4" w:space="0"/>
            </w:tcBorders>
            <w:noWrap/>
            <w:vAlign w:val="center"/>
          </w:tcPr>
          <w:p w14:paraId="74F12BD9">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社会效益指标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7F4EF510">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6E992B20">
            <w:pPr>
              <w:jc w:val="center"/>
              <w:rPr>
                <w:rFonts w:ascii="宋体" w:hAnsi="宋体" w:cs="宋体"/>
                <w:color w:val="000000"/>
                <w:sz w:val="16"/>
                <w:szCs w:val="16"/>
              </w:rPr>
            </w:pPr>
          </w:p>
        </w:tc>
      </w:tr>
      <w:tr w14:paraId="767F07E7">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3C1527F">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7156D782">
            <w:pPr>
              <w:jc w:val="center"/>
              <w:rPr>
                <w:rFonts w:ascii="宋体" w:hAnsi="宋体" w:cs="宋体"/>
                <w:color w:val="000000"/>
                <w:sz w:val="16"/>
                <w:szCs w:val="16"/>
              </w:rPr>
            </w:pPr>
          </w:p>
        </w:tc>
        <w:tc>
          <w:tcPr>
            <w:tcW w:w="704" w:type="pct"/>
            <w:vMerge w:val="continue"/>
            <w:tcBorders>
              <w:left w:val="single" w:color="000000" w:sz="4" w:space="0"/>
              <w:right w:val="single" w:color="000000" w:sz="4" w:space="0"/>
            </w:tcBorders>
            <w:noWrap/>
            <w:vAlign w:val="center"/>
          </w:tcPr>
          <w:p w14:paraId="5D7AA8A9">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65AA832A">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0AFDAEC1">
            <w:pPr>
              <w:jc w:val="center"/>
              <w:rPr>
                <w:rFonts w:ascii="宋体" w:hAnsi="宋体" w:cs="宋体"/>
                <w:color w:val="000000"/>
                <w:sz w:val="16"/>
                <w:szCs w:val="16"/>
              </w:rPr>
            </w:pPr>
          </w:p>
        </w:tc>
      </w:tr>
      <w:tr w14:paraId="0EB960F2">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BBA99C2">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7F19D835">
            <w:pPr>
              <w:jc w:val="center"/>
              <w:rPr>
                <w:rFonts w:ascii="宋体" w:hAnsi="宋体" w:cs="宋体"/>
                <w:color w:val="000000"/>
                <w:sz w:val="16"/>
                <w:szCs w:val="16"/>
              </w:rPr>
            </w:pP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5733BC55">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生态效益指标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34D92AE2">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33FA347B">
            <w:pPr>
              <w:jc w:val="center"/>
              <w:rPr>
                <w:rFonts w:ascii="宋体" w:hAnsi="宋体" w:cs="宋体"/>
                <w:color w:val="000000"/>
                <w:sz w:val="16"/>
                <w:szCs w:val="16"/>
              </w:rPr>
            </w:pPr>
          </w:p>
        </w:tc>
      </w:tr>
      <w:tr w14:paraId="56C9D5E4">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E646154">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4B459FEF">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353CAB27">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3573639C">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5AF78E56">
            <w:pPr>
              <w:jc w:val="center"/>
              <w:rPr>
                <w:rFonts w:ascii="宋体" w:hAnsi="宋体" w:cs="宋体"/>
                <w:color w:val="000000"/>
                <w:sz w:val="16"/>
                <w:szCs w:val="16"/>
              </w:rPr>
            </w:pPr>
          </w:p>
        </w:tc>
      </w:tr>
      <w:tr w14:paraId="4B9B853D">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E608129">
            <w:pPr>
              <w:jc w:val="center"/>
              <w:rPr>
                <w:rFonts w:ascii="宋体" w:hAnsi="宋体" w:cs="宋体"/>
                <w:color w:val="000000"/>
                <w:sz w:val="16"/>
                <w:szCs w:val="16"/>
              </w:rPr>
            </w:pPr>
          </w:p>
        </w:tc>
        <w:tc>
          <w:tcPr>
            <w:tcW w:w="651" w:type="pct"/>
            <w:gridSpan w:val="2"/>
            <w:vMerge w:val="continue"/>
            <w:tcBorders>
              <w:left w:val="single" w:color="000000" w:sz="4" w:space="0"/>
              <w:right w:val="single" w:color="000000" w:sz="4" w:space="0"/>
            </w:tcBorders>
            <w:noWrap/>
            <w:vAlign w:val="center"/>
          </w:tcPr>
          <w:p w14:paraId="2BC32316">
            <w:pPr>
              <w:jc w:val="center"/>
              <w:rPr>
                <w:rFonts w:ascii="宋体" w:hAnsi="宋体" w:cs="宋体"/>
                <w:color w:val="000000"/>
                <w:sz w:val="16"/>
                <w:szCs w:val="16"/>
              </w:rPr>
            </w:pP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1CF6B3E5">
            <w:pPr>
              <w:widowControl/>
              <w:jc w:val="center"/>
              <w:textAlignment w:val="center"/>
              <w:rPr>
                <w:rFonts w:ascii="宋体" w:hAnsi="宋体" w:cs="宋体"/>
                <w:color w:val="000000"/>
                <w:kern w:val="0"/>
                <w:sz w:val="16"/>
                <w:szCs w:val="16"/>
              </w:rPr>
            </w:pPr>
            <w:r>
              <w:rPr>
                <w:rFonts w:hint="eastAsia" w:ascii="宋体" w:hAnsi="宋体" w:cs="宋体"/>
                <w:color w:val="000000"/>
                <w:kern w:val="0"/>
                <w:sz w:val="16"/>
                <w:szCs w:val="16"/>
              </w:rPr>
              <w:t>可持续影响</w:t>
            </w:r>
          </w:p>
          <w:p w14:paraId="14EDDF0B">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2926BD11">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63F48B02">
            <w:pPr>
              <w:jc w:val="center"/>
              <w:rPr>
                <w:rFonts w:ascii="宋体" w:hAnsi="宋体" w:cs="宋体"/>
                <w:color w:val="000000"/>
                <w:sz w:val="16"/>
                <w:szCs w:val="16"/>
              </w:rPr>
            </w:pPr>
          </w:p>
        </w:tc>
      </w:tr>
      <w:tr w14:paraId="0DECA44F">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5D502DA">
            <w:pPr>
              <w:jc w:val="center"/>
              <w:rPr>
                <w:rFonts w:ascii="宋体" w:hAnsi="宋体" w:cs="宋体"/>
                <w:color w:val="000000"/>
                <w:sz w:val="16"/>
                <w:szCs w:val="16"/>
              </w:rPr>
            </w:pPr>
          </w:p>
        </w:tc>
        <w:tc>
          <w:tcPr>
            <w:tcW w:w="651" w:type="pct"/>
            <w:gridSpan w:val="2"/>
            <w:vMerge w:val="continue"/>
            <w:tcBorders>
              <w:left w:val="single" w:color="000000" w:sz="4" w:space="0"/>
              <w:bottom w:val="single" w:color="000000" w:sz="4" w:space="0"/>
              <w:right w:val="single" w:color="000000" w:sz="4" w:space="0"/>
            </w:tcBorders>
            <w:noWrap/>
            <w:vAlign w:val="center"/>
          </w:tcPr>
          <w:p w14:paraId="1B8A73E0">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27EE39EA">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414C0A7E">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6237A831">
            <w:pPr>
              <w:jc w:val="center"/>
              <w:rPr>
                <w:rFonts w:ascii="宋体" w:hAnsi="宋体" w:cs="宋体"/>
                <w:color w:val="000000"/>
                <w:sz w:val="16"/>
                <w:szCs w:val="16"/>
              </w:rPr>
            </w:pPr>
          </w:p>
        </w:tc>
      </w:tr>
      <w:tr w14:paraId="53DA2AEA">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C6501FE">
            <w:pPr>
              <w:jc w:val="center"/>
              <w:rPr>
                <w:rFonts w:ascii="宋体" w:hAnsi="宋体" w:cs="宋体"/>
                <w:color w:val="000000"/>
                <w:sz w:val="16"/>
                <w:szCs w:val="16"/>
              </w:rPr>
            </w:pPr>
          </w:p>
        </w:tc>
        <w:tc>
          <w:tcPr>
            <w:tcW w:w="651"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664DCA23">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满意度指标</w:t>
            </w:r>
          </w:p>
        </w:tc>
        <w:tc>
          <w:tcPr>
            <w:tcW w:w="704" w:type="pct"/>
            <w:vMerge w:val="restart"/>
            <w:tcBorders>
              <w:top w:val="single" w:color="000000" w:sz="4" w:space="0"/>
              <w:left w:val="single" w:color="000000" w:sz="4" w:space="0"/>
              <w:bottom w:val="single" w:color="000000" w:sz="4" w:space="0"/>
              <w:right w:val="single" w:color="000000" w:sz="4" w:space="0"/>
            </w:tcBorders>
            <w:noWrap/>
            <w:vAlign w:val="center"/>
          </w:tcPr>
          <w:p w14:paraId="23CE003D">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服务对象</w:t>
            </w:r>
            <w:r>
              <w:rPr>
                <w:rFonts w:hint="eastAsia" w:ascii="宋体" w:hAnsi="宋体" w:cs="宋体"/>
                <w:color w:val="000000"/>
                <w:kern w:val="0"/>
                <w:sz w:val="16"/>
                <w:szCs w:val="16"/>
              </w:rPr>
              <w:br w:type="textWrapping"/>
            </w:r>
            <w:r>
              <w:rPr>
                <w:rFonts w:hint="eastAsia" w:ascii="宋体" w:hAnsi="宋体" w:cs="宋体"/>
                <w:color w:val="000000"/>
                <w:kern w:val="0"/>
                <w:sz w:val="16"/>
                <w:szCs w:val="16"/>
              </w:rPr>
              <w:t>满意度指标</w:t>
            </w: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11927A0B">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指标1：</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73ED9BC2">
            <w:pPr>
              <w:jc w:val="center"/>
              <w:rPr>
                <w:rFonts w:ascii="宋体" w:hAnsi="宋体" w:cs="宋体"/>
                <w:color w:val="000000"/>
                <w:sz w:val="16"/>
                <w:szCs w:val="16"/>
              </w:rPr>
            </w:pPr>
          </w:p>
        </w:tc>
      </w:tr>
      <w:tr w14:paraId="6304F1A7">
        <w:tblPrEx>
          <w:tblCellMar>
            <w:top w:w="0" w:type="dxa"/>
            <w:left w:w="108" w:type="dxa"/>
            <w:bottom w:w="0" w:type="dxa"/>
            <w:right w:w="108" w:type="dxa"/>
          </w:tblCellMar>
        </w:tblPrEx>
        <w:trPr>
          <w:trHeight w:val="23" w:hRule="atLeast"/>
        </w:trPr>
        <w:tc>
          <w:tcPr>
            <w:tcW w:w="344"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1E90BA2">
            <w:pPr>
              <w:jc w:val="center"/>
              <w:rPr>
                <w:rFonts w:ascii="宋体" w:hAnsi="宋体" w:cs="宋体"/>
                <w:color w:val="000000"/>
                <w:sz w:val="16"/>
                <w:szCs w:val="16"/>
              </w:rPr>
            </w:pPr>
          </w:p>
        </w:tc>
        <w:tc>
          <w:tcPr>
            <w:tcW w:w="651"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FD4BCD3">
            <w:pPr>
              <w:jc w:val="center"/>
              <w:rPr>
                <w:rFonts w:ascii="宋体" w:hAnsi="宋体" w:cs="宋体"/>
                <w:color w:val="000000"/>
                <w:sz w:val="16"/>
                <w:szCs w:val="16"/>
              </w:rPr>
            </w:pPr>
          </w:p>
        </w:tc>
        <w:tc>
          <w:tcPr>
            <w:tcW w:w="704" w:type="pct"/>
            <w:vMerge w:val="continue"/>
            <w:tcBorders>
              <w:top w:val="single" w:color="000000" w:sz="4" w:space="0"/>
              <w:left w:val="single" w:color="000000" w:sz="4" w:space="0"/>
              <w:bottom w:val="single" w:color="000000" w:sz="4" w:space="0"/>
              <w:right w:val="single" w:color="000000" w:sz="4" w:space="0"/>
            </w:tcBorders>
            <w:noWrap/>
            <w:vAlign w:val="center"/>
          </w:tcPr>
          <w:p w14:paraId="76FC1BF8">
            <w:pPr>
              <w:jc w:val="center"/>
              <w:rPr>
                <w:rFonts w:ascii="宋体" w:hAnsi="宋体" w:cs="宋体"/>
                <w:color w:val="000000"/>
                <w:sz w:val="16"/>
                <w:szCs w:val="16"/>
              </w:rPr>
            </w:pPr>
          </w:p>
        </w:tc>
        <w:tc>
          <w:tcPr>
            <w:tcW w:w="2462" w:type="pct"/>
            <w:gridSpan w:val="2"/>
            <w:tcBorders>
              <w:top w:val="single" w:color="000000" w:sz="4" w:space="0"/>
              <w:left w:val="single" w:color="000000" w:sz="4" w:space="0"/>
              <w:bottom w:val="single" w:color="000000" w:sz="4" w:space="0"/>
              <w:right w:val="single" w:color="000000" w:sz="4" w:space="0"/>
            </w:tcBorders>
            <w:noWrap/>
            <w:vAlign w:val="center"/>
          </w:tcPr>
          <w:p w14:paraId="21C3E2F5">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w:t>
            </w:r>
          </w:p>
        </w:tc>
        <w:tc>
          <w:tcPr>
            <w:tcW w:w="837" w:type="pct"/>
            <w:gridSpan w:val="2"/>
            <w:tcBorders>
              <w:top w:val="single" w:color="000000" w:sz="4" w:space="0"/>
              <w:left w:val="single" w:color="000000" w:sz="4" w:space="0"/>
              <w:bottom w:val="single" w:color="000000" w:sz="4" w:space="0"/>
              <w:right w:val="single" w:color="000000" w:sz="4" w:space="0"/>
            </w:tcBorders>
            <w:noWrap/>
            <w:vAlign w:val="center"/>
          </w:tcPr>
          <w:p w14:paraId="3C3D64A8">
            <w:pPr>
              <w:jc w:val="center"/>
              <w:rPr>
                <w:rFonts w:ascii="宋体" w:hAnsi="宋体" w:cs="宋体"/>
                <w:color w:val="000000"/>
                <w:sz w:val="16"/>
                <w:szCs w:val="16"/>
              </w:rPr>
            </w:pPr>
          </w:p>
        </w:tc>
      </w:tr>
    </w:tbl>
    <w:p w14:paraId="159993FF">
      <w:pPr>
        <w:rPr>
          <w:rFonts w:eastAsia="仿宋_GB2312"/>
          <w:sz w:val="32"/>
          <w:szCs w:val="32"/>
        </w:rPr>
      </w:pPr>
      <w:r>
        <w:rPr>
          <w:rFonts w:hint="eastAsia" w:eastAsia="仿宋_GB2312"/>
          <w:sz w:val="15"/>
          <w:szCs w:val="15"/>
        </w:rPr>
        <w:br w:type="page"/>
      </w:r>
      <w:r>
        <w:rPr>
          <w:rFonts w:hint="eastAsia" w:eastAsia="仿宋_GB2312"/>
          <w:sz w:val="32"/>
          <w:szCs w:val="32"/>
        </w:rPr>
        <w:t>填报说明：</w:t>
      </w:r>
    </w:p>
    <w:p w14:paraId="66CB552F">
      <w:pPr>
        <w:rPr>
          <w:rFonts w:eastAsia="仿宋_GB2312"/>
          <w:sz w:val="32"/>
          <w:szCs w:val="32"/>
        </w:rPr>
      </w:pPr>
      <w:r>
        <w:rPr>
          <w:rFonts w:hint="eastAsia" w:eastAsia="仿宋_GB2312"/>
          <w:sz w:val="32"/>
          <w:szCs w:val="32"/>
        </w:rPr>
        <w:t>1.基本信息。包括项目名称、类别、主管部门、项目资金等信息，与项目申报入库时填报的项目信息相一致。</w:t>
      </w:r>
    </w:p>
    <w:p w14:paraId="061A943F">
      <w:pPr>
        <w:widowControl/>
        <w:shd w:val="clear" w:color="auto" w:fill="FFFFFF"/>
        <w:spacing w:line="480" w:lineRule="atLeast"/>
        <w:rPr>
          <w:rFonts w:eastAsia="仿宋_GB2312"/>
          <w:sz w:val="32"/>
          <w:szCs w:val="32"/>
        </w:rPr>
      </w:pPr>
      <w:r>
        <w:rPr>
          <w:rFonts w:hint="eastAsia" w:eastAsia="仿宋_GB2312"/>
          <w:sz w:val="32"/>
          <w:szCs w:val="32"/>
        </w:rPr>
        <w:t>2.“项目绩效目标”分为项目全部完成后预期达到的绩效目标，即“项目总目标”；以及项目当年预期达到的绩效目标，即“年度总体目标”。对于实施期超过一年的项目，需分别设定项目总目标和年度总体目标；对于实施期不超过一年的项目，仅需设置年度总体目标。</w:t>
      </w:r>
    </w:p>
    <w:p w14:paraId="3BBC17B3">
      <w:pPr>
        <w:widowControl/>
        <w:shd w:val="clear" w:color="auto" w:fill="FFFFFF"/>
        <w:spacing w:line="480" w:lineRule="atLeast"/>
        <w:rPr>
          <w:rFonts w:eastAsia="仿宋_GB2312"/>
          <w:sz w:val="32"/>
          <w:szCs w:val="32"/>
        </w:rPr>
      </w:pPr>
      <w:r>
        <w:rPr>
          <w:rFonts w:hint="eastAsia" w:eastAsia="仿宋_GB2312"/>
          <w:sz w:val="32"/>
          <w:szCs w:val="32"/>
        </w:rPr>
        <w:t>（1）“项目总目标”或“年度总体目标”包括项目计划完成的工作（即产出）以及通过这些工作预期达到的效果（即效益）。建议采用“通过（做…事情），实现/达到…效果”进行表述，如“通过新建、改扩建××所幼儿园，实现新增学位××个，区域学前三年毛入园率达到××%”。</w:t>
      </w:r>
    </w:p>
    <w:p w14:paraId="4931E229">
      <w:pPr>
        <w:widowControl/>
        <w:shd w:val="clear" w:color="auto" w:fill="FFFFFF"/>
        <w:spacing w:line="480" w:lineRule="atLeast"/>
        <w:rPr>
          <w:rFonts w:eastAsia="仿宋_GB2312"/>
          <w:sz w:val="32"/>
          <w:szCs w:val="32"/>
        </w:rPr>
      </w:pPr>
      <w:r>
        <w:rPr>
          <w:rFonts w:hint="eastAsia" w:eastAsia="仿宋_GB2312"/>
          <w:sz w:val="32"/>
          <w:szCs w:val="32"/>
        </w:rPr>
        <w:t>（2）“项目总目标”或“年度总体目标”当项目目标涉及到多方面、多层次内容时，应在对内容分类归集的基础上，针对同类内容进行归纳描述，避免目标庞杂、逻辑不清。表述形式可为“目标1:经开展××工作，实现××效益；目标2:通过完成××工作，达成××的目标，解决××问题”等。</w:t>
      </w:r>
    </w:p>
    <w:p w14:paraId="19AFAF79">
      <w:pPr>
        <w:widowControl/>
        <w:shd w:val="clear" w:color="auto" w:fill="FFFFFF"/>
        <w:spacing w:line="480" w:lineRule="atLeast"/>
        <w:rPr>
          <w:rFonts w:eastAsia="仿宋_GB2312"/>
          <w:sz w:val="32"/>
          <w:szCs w:val="32"/>
        </w:rPr>
      </w:pPr>
      <w:r>
        <w:rPr>
          <w:rFonts w:hint="eastAsia" w:eastAsia="仿宋_GB2312"/>
          <w:sz w:val="32"/>
          <w:szCs w:val="32"/>
        </w:rPr>
        <w:t>3. “绩效指标”应按照规定分级设置。对于已开展成本预算绩效分析的项目，要充分应用已形成的公共服务绩效标准（或绩效基线）、成本定额标准和支出标准建议，科学设定绩效目标和指标。</w:t>
      </w:r>
    </w:p>
    <w:p w14:paraId="6EFE06A3">
      <w:pPr>
        <w:rPr>
          <w:rFonts w:eastAsia="仿宋_GB2312"/>
          <w:sz w:val="15"/>
          <w:szCs w:val="15"/>
        </w:rPr>
      </w:pPr>
      <w:r>
        <w:rPr>
          <w:rFonts w:hint="eastAsia" w:eastAsia="仿宋_GB2312"/>
          <w:sz w:val="15"/>
          <w:szCs w:val="15"/>
        </w:rPr>
        <w:br w:type="page"/>
      </w:r>
    </w:p>
    <w:p w14:paraId="24B02BC9">
      <w:pPr>
        <w:spacing w:line="600" w:lineRule="exact"/>
        <w:rPr>
          <w:rFonts w:ascii="黑体" w:hAnsi="黑体" w:eastAsia="黑体" w:cs="黑体"/>
          <w:sz w:val="32"/>
          <w:szCs w:val="32"/>
        </w:rPr>
      </w:pPr>
      <w:r>
        <w:rPr>
          <w:rFonts w:hint="eastAsia" w:ascii="黑体" w:hAnsi="黑体" w:eastAsia="黑体" w:cs="黑体"/>
          <w:sz w:val="32"/>
          <w:szCs w:val="32"/>
        </w:rPr>
        <w:t>附件2</w:t>
      </w:r>
    </w:p>
    <w:p w14:paraId="0ACCBE10">
      <w:pPr>
        <w:widowControl/>
        <w:spacing w:beforeLines="50" w:afterLines="50" w:line="600" w:lineRule="exact"/>
        <w:jc w:val="center"/>
        <w:textAlignment w:val="center"/>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成本指标设置路径和参考案例</w:t>
      </w:r>
    </w:p>
    <w:p w14:paraId="46FC88C4">
      <w:pPr>
        <w:spacing w:line="600" w:lineRule="exact"/>
        <w:ind w:firstLine="640" w:firstLineChars="200"/>
        <w:rPr>
          <w:rFonts w:eastAsia="黑体"/>
          <w:bCs/>
          <w:sz w:val="32"/>
          <w:szCs w:val="32"/>
        </w:rPr>
      </w:pPr>
      <w:r>
        <w:rPr>
          <w:rFonts w:hint="eastAsia" w:eastAsia="黑体"/>
          <w:bCs/>
          <w:sz w:val="32"/>
          <w:szCs w:val="32"/>
        </w:rPr>
        <w:t>一、经济成本指标</w:t>
      </w:r>
    </w:p>
    <w:p w14:paraId="394F2629">
      <w:pPr>
        <w:spacing w:line="600" w:lineRule="exact"/>
        <w:ind w:firstLine="640" w:firstLineChars="200"/>
        <w:rPr>
          <w:rFonts w:eastAsia="仿宋_GB2312"/>
          <w:sz w:val="32"/>
          <w:szCs w:val="32"/>
        </w:rPr>
      </w:pPr>
      <w:r>
        <w:rPr>
          <w:rFonts w:hint="eastAsia" w:eastAsia="仿宋_GB2312"/>
          <w:sz w:val="32"/>
          <w:szCs w:val="32"/>
        </w:rPr>
        <w:t>反映实施项目所产生的直接经济成本，呈现方式一般包括</w:t>
      </w:r>
      <w:r>
        <w:rPr>
          <w:rFonts w:hint="eastAsia" w:eastAsia="仿宋_GB2312"/>
          <w:b/>
          <w:bCs/>
          <w:sz w:val="32"/>
          <w:szCs w:val="32"/>
        </w:rPr>
        <w:t>单位成本、分项成本</w:t>
      </w:r>
      <w:r>
        <w:rPr>
          <w:rFonts w:hint="eastAsia" w:eastAsia="仿宋_GB2312"/>
          <w:sz w:val="32"/>
          <w:szCs w:val="32"/>
        </w:rPr>
        <w:t>和</w:t>
      </w:r>
      <w:r>
        <w:rPr>
          <w:rFonts w:hint="eastAsia" w:eastAsia="仿宋_GB2312"/>
          <w:b/>
          <w:bCs/>
          <w:sz w:val="32"/>
          <w:szCs w:val="32"/>
        </w:rPr>
        <w:t>总成本</w:t>
      </w:r>
      <w:r>
        <w:rPr>
          <w:rFonts w:hint="eastAsia" w:eastAsia="仿宋_GB2312"/>
          <w:sz w:val="32"/>
          <w:szCs w:val="32"/>
        </w:rPr>
        <w:t>。</w:t>
      </w:r>
    </w:p>
    <w:p w14:paraId="002353C6">
      <w:pPr>
        <w:spacing w:line="600" w:lineRule="exact"/>
        <w:ind w:firstLine="643" w:firstLineChars="200"/>
        <w:rPr>
          <w:rFonts w:eastAsia="仿宋_GB2312"/>
          <w:sz w:val="32"/>
          <w:szCs w:val="32"/>
        </w:rPr>
      </w:pPr>
      <w:r>
        <w:rPr>
          <w:rFonts w:hint="eastAsia" w:eastAsia="仿宋_GB2312"/>
          <w:b/>
          <w:bCs/>
          <w:sz w:val="32"/>
          <w:szCs w:val="32"/>
        </w:rPr>
        <w:t>单位成本指标</w:t>
      </w:r>
      <w:r>
        <w:rPr>
          <w:rFonts w:hint="eastAsia" w:eastAsia="仿宋_GB2312"/>
          <w:sz w:val="32"/>
          <w:szCs w:val="32"/>
        </w:rPr>
        <w:t>反映预算安排所依据的成本定额、支出标准或经测算得出的单位产出所需成本，其计量单位应与产出指标的计量单位测算口径保持一致；</w:t>
      </w:r>
      <w:r>
        <w:rPr>
          <w:rFonts w:hint="eastAsia" w:eastAsia="仿宋_GB2312"/>
          <w:b/>
          <w:bCs/>
          <w:sz w:val="32"/>
          <w:szCs w:val="32"/>
        </w:rPr>
        <w:t>分项成本指标</w:t>
      </w:r>
      <w:r>
        <w:rPr>
          <w:rFonts w:hint="eastAsia" w:eastAsia="仿宋_GB2312"/>
          <w:sz w:val="32"/>
          <w:szCs w:val="32"/>
        </w:rPr>
        <w:t>反映成本构成情况，可根据项目实施内容、任务清单或费用明细设置分项成本控制数。</w:t>
      </w:r>
      <w:r>
        <w:rPr>
          <w:rFonts w:hint="eastAsia" w:eastAsia="仿宋_GB2312"/>
          <w:b/>
          <w:bCs/>
          <w:sz w:val="32"/>
          <w:szCs w:val="32"/>
        </w:rPr>
        <w:t>总成本指标</w:t>
      </w:r>
      <w:r>
        <w:rPr>
          <w:rFonts w:hint="eastAsia" w:eastAsia="仿宋_GB2312"/>
          <w:sz w:val="32"/>
          <w:szCs w:val="32"/>
        </w:rPr>
        <w:t>反映项目总体成本控制要求，由单位成本、分项成本综合计算得出的，且应当小于等于项目预算总额，无需单独设置指标进行阐述。</w:t>
      </w:r>
    </w:p>
    <w:p w14:paraId="4CAE0625">
      <w:pPr>
        <w:spacing w:line="600" w:lineRule="exact"/>
        <w:ind w:firstLine="640" w:firstLineChars="200"/>
        <w:rPr>
          <w:rFonts w:eastAsia="仿宋_GB2312"/>
          <w:sz w:val="32"/>
          <w:szCs w:val="32"/>
        </w:rPr>
      </w:pPr>
      <w:r>
        <w:rPr>
          <w:rFonts w:hint="eastAsia" w:eastAsia="仿宋_GB2312"/>
          <w:sz w:val="32"/>
          <w:szCs w:val="32"/>
        </w:rPr>
        <w:t>经济成本指标原则上应按单位成本拆分核算。若因实际情况限制，单位成本无法拆分核算的，可设立分项成本作为替代方案，确保全面、科学反映项目支出成本，强化成本管理和成本控制。</w:t>
      </w:r>
    </w:p>
    <w:p w14:paraId="44CFB7BD">
      <w:pPr>
        <w:spacing w:line="600" w:lineRule="exact"/>
        <w:ind w:firstLine="643" w:firstLineChars="200"/>
        <w:rPr>
          <w:rFonts w:eastAsia="仿宋_GB2312"/>
          <w:b/>
          <w:bCs/>
          <w:sz w:val="32"/>
          <w:szCs w:val="32"/>
        </w:rPr>
      </w:pPr>
      <w:r>
        <w:rPr>
          <w:rFonts w:hint="eastAsia" w:eastAsia="仿宋_GB2312"/>
          <w:b/>
          <w:bCs/>
          <w:sz w:val="32"/>
          <w:szCs w:val="32"/>
        </w:rPr>
        <w:t>1.单位成本指标</w:t>
      </w:r>
    </w:p>
    <w:p w14:paraId="5A5D5C42">
      <w:pPr>
        <w:spacing w:line="600" w:lineRule="exact"/>
        <w:ind w:firstLine="643" w:firstLineChars="200"/>
        <w:rPr>
          <w:rFonts w:eastAsia="仿宋_GB2312"/>
          <w:b/>
          <w:bCs/>
          <w:sz w:val="32"/>
          <w:szCs w:val="32"/>
        </w:rPr>
      </w:pPr>
      <w:r>
        <w:rPr>
          <w:rFonts w:hint="eastAsia" w:eastAsia="仿宋_GB2312"/>
          <w:b/>
          <w:bCs/>
          <w:sz w:val="32"/>
          <w:szCs w:val="32"/>
        </w:rPr>
        <w:t>（1）对于有文件明确成本定额、支出标准的，按照相关规定执行。</w:t>
      </w:r>
    </w:p>
    <w:p w14:paraId="4E4BDAE9">
      <w:pPr>
        <w:spacing w:line="600" w:lineRule="exact"/>
        <w:ind w:firstLine="640" w:firstLineChars="200"/>
        <w:rPr>
          <w:rFonts w:eastAsia="仿宋_GB2312"/>
          <w:sz w:val="32"/>
          <w:szCs w:val="32"/>
        </w:rPr>
      </w:pPr>
      <w:bookmarkStart w:id="1" w:name="_Hlk173222460"/>
      <w:r>
        <w:rPr>
          <w:rFonts w:hint="eastAsia" w:eastAsia="仿宋_GB2312"/>
          <w:sz w:val="32"/>
          <w:szCs w:val="32"/>
        </w:rPr>
        <w:t>【案例1】以“二类会议费”项目为例：</w:t>
      </w:r>
    </w:p>
    <w:bookmarkEnd w:id="1"/>
    <w:p w14:paraId="1D76126A">
      <w:pPr>
        <w:spacing w:line="600" w:lineRule="exact"/>
        <w:ind w:firstLine="640" w:firstLineChars="200"/>
        <w:rPr>
          <w:rFonts w:eastAsia="仿宋_GB2312"/>
          <w:sz w:val="32"/>
          <w:szCs w:val="32"/>
        </w:rPr>
      </w:pPr>
      <w:r>
        <w:rPr>
          <w:rFonts w:hint="eastAsia" w:eastAsia="仿宋_GB2312"/>
          <w:sz w:val="32"/>
          <w:szCs w:val="32"/>
        </w:rPr>
        <w:t>某市级部门按规定召开全市范围的会议，会期</w:t>
      </w:r>
      <w:r>
        <w:rPr>
          <w:rFonts w:eastAsia="仿宋_GB2312"/>
          <w:sz w:val="32"/>
          <w:szCs w:val="32"/>
        </w:rPr>
        <w:t>2</w:t>
      </w:r>
      <w:r>
        <w:rPr>
          <w:rFonts w:hint="eastAsia" w:eastAsia="仿宋_GB2312"/>
          <w:sz w:val="32"/>
          <w:szCs w:val="32"/>
        </w:rPr>
        <w:t>天，参会人员</w:t>
      </w:r>
      <w:r>
        <w:rPr>
          <w:rFonts w:eastAsia="仿宋_GB2312"/>
          <w:sz w:val="32"/>
          <w:szCs w:val="32"/>
        </w:rPr>
        <w:t>250</w:t>
      </w:r>
      <w:r>
        <w:rPr>
          <w:rFonts w:hint="eastAsia" w:eastAsia="仿宋_GB2312"/>
          <w:sz w:val="32"/>
          <w:szCs w:val="32"/>
        </w:rPr>
        <w:t>人。按照本市机关会议费的相关规定，该会议属于二类会议，支出范围包括住宿费、伙食费和其他费用。</w:t>
      </w:r>
    </w:p>
    <w:p w14:paraId="03BB54C2">
      <w:pPr>
        <w:spacing w:line="600" w:lineRule="exact"/>
        <w:ind w:firstLine="640" w:firstLineChars="200"/>
        <w:rPr>
          <w:rFonts w:eastAsia="仿宋_GB2312"/>
          <w:sz w:val="32"/>
          <w:szCs w:val="32"/>
        </w:rPr>
      </w:pPr>
      <w:r>
        <w:rPr>
          <w:rFonts w:hint="eastAsia" w:eastAsia="仿宋_GB2312"/>
          <w:sz w:val="32"/>
          <w:szCs w:val="32"/>
        </w:rPr>
        <w:t>按照市级机关会议费相关规定，设置“会议费单位成本”指标，标杆值≤6</w:t>
      </w:r>
      <w:r>
        <w:rPr>
          <w:rFonts w:eastAsia="仿宋_GB2312"/>
          <w:sz w:val="32"/>
          <w:szCs w:val="32"/>
        </w:rPr>
        <w:t>50元/</w:t>
      </w:r>
      <w:r>
        <w:rPr>
          <w:rFonts w:hint="eastAsia" w:eastAsia="仿宋_GB2312"/>
          <w:sz w:val="32"/>
          <w:szCs w:val="32"/>
        </w:rPr>
        <w:t>人·天（住宿费4</w:t>
      </w:r>
      <w:r>
        <w:rPr>
          <w:rFonts w:eastAsia="仿宋_GB2312"/>
          <w:sz w:val="32"/>
          <w:szCs w:val="32"/>
        </w:rPr>
        <w:t>00+</w:t>
      </w:r>
      <w:r>
        <w:rPr>
          <w:rFonts w:hint="eastAsia" w:eastAsia="仿宋_GB2312"/>
          <w:sz w:val="32"/>
          <w:szCs w:val="32"/>
        </w:rPr>
        <w:t>伙食费1</w:t>
      </w:r>
      <w:r>
        <w:rPr>
          <w:rFonts w:eastAsia="仿宋_GB2312"/>
          <w:sz w:val="32"/>
          <w:szCs w:val="32"/>
        </w:rPr>
        <w:t>50+</w:t>
      </w:r>
      <w:r>
        <w:rPr>
          <w:rFonts w:hint="eastAsia" w:eastAsia="仿宋_GB2312"/>
          <w:sz w:val="32"/>
          <w:szCs w:val="32"/>
        </w:rPr>
        <w:t>其他费用1</w:t>
      </w:r>
      <w:r>
        <w:rPr>
          <w:rFonts w:eastAsia="仿宋_GB2312"/>
          <w:sz w:val="32"/>
          <w:szCs w:val="32"/>
        </w:rPr>
        <w:t>00</w:t>
      </w:r>
      <w:r>
        <w:rPr>
          <w:rFonts w:hint="eastAsia" w:eastAsia="仿宋_GB2312"/>
          <w:sz w:val="32"/>
          <w:szCs w:val="32"/>
        </w:rPr>
        <w:t>）；“会期时长”“参会人数”等产出指标，标杆值分别为</w:t>
      </w:r>
      <w:r>
        <w:rPr>
          <w:rFonts w:eastAsia="仿宋_GB2312"/>
          <w:sz w:val="32"/>
          <w:szCs w:val="32"/>
        </w:rPr>
        <w:t>2</w:t>
      </w:r>
      <w:r>
        <w:rPr>
          <w:rFonts w:hint="eastAsia" w:eastAsia="仿宋_GB2312"/>
          <w:sz w:val="32"/>
          <w:szCs w:val="32"/>
        </w:rPr>
        <w:t>天、</w:t>
      </w:r>
      <w:r>
        <w:rPr>
          <w:rFonts w:eastAsia="仿宋_GB2312"/>
          <w:sz w:val="32"/>
          <w:szCs w:val="32"/>
        </w:rPr>
        <w:t>250</w:t>
      </w:r>
      <w:r>
        <w:rPr>
          <w:rFonts w:hint="eastAsia" w:eastAsia="仿宋_GB2312"/>
          <w:sz w:val="32"/>
          <w:szCs w:val="32"/>
        </w:rPr>
        <w:t>人。</w:t>
      </w:r>
    </w:p>
    <w:p w14:paraId="77662F9D">
      <w:pPr>
        <w:spacing w:line="600" w:lineRule="exact"/>
        <w:ind w:firstLine="640" w:firstLineChars="200"/>
        <w:rPr>
          <w:rFonts w:eastAsia="仿宋_GB2312"/>
          <w:sz w:val="32"/>
          <w:szCs w:val="32"/>
        </w:rPr>
      </w:pPr>
      <w:r>
        <w:rPr>
          <w:rFonts w:hint="eastAsia" w:eastAsia="仿宋_GB2312"/>
          <w:sz w:val="32"/>
          <w:szCs w:val="32"/>
        </w:rPr>
        <w:t>按照项目实际情况，设置单位成本指标及标杆值如下（部分指标）：</w:t>
      </w:r>
    </w:p>
    <w:tbl>
      <w:tblPr>
        <w:tblStyle w:val="14"/>
        <w:tblW w:w="8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2126"/>
        <w:gridCol w:w="2931"/>
        <w:gridCol w:w="1984"/>
      </w:tblGrid>
      <w:tr w14:paraId="52A9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noWrap/>
          </w:tcPr>
          <w:p w14:paraId="76F842A5">
            <w:pPr>
              <w:spacing w:line="400" w:lineRule="exact"/>
              <w:jc w:val="center"/>
              <w:rPr>
                <w:rFonts w:eastAsia="仿宋_GB2312"/>
                <w:b/>
                <w:szCs w:val="21"/>
              </w:rPr>
            </w:pPr>
            <w:r>
              <w:rPr>
                <w:rFonts w:hint="eastAsia" w:eastAsia="仿宋_GB2312"/>
                <w:b/>
                <w:szCs w:val="21"/>
              </w:rPr>
              <w:t>一级指标</w:t>
            </w:r>
          </w:p>
        </w:tc>
        <w:tc>
          <w:tcPr>
            <w:tcW w:w="2126" w:type="dxa"/>
            <w:noWrap/>
          </w:tcPr>
          <w:p w14:paraId="6C5FDEB5">
            <w:pPr>
              <w:spacing w:line="400" w:lineRule="exact"/>
              <w:jc w:val="center"/>
              <w:rPr>
                <w:rFonts w:eastAsia="仿宋_GB2312"/>
                <w:b/>
                <w:szCs w:val="21"/>
              </w:rPr>
            </w:pPr>
            <w:r>
              <w:rPr>
                <w:rFonts w:hint="eastAsia" w:eastAsia="仿宋_GB2312"/>
                <w:b/>
                <w:szCs w:val="21"/>
              </w:rPr>
              <w:t>二级指标</w:t>
            </w:r>
          </w:p>
        </w:tc>
        <w:tc>
          <w:tcPr>
            <w:tcW w:w="2931" w:type="dxa"/>
            <w:noWrap/>
          </w:tcPr>
          <w:p w14:paraId="04580081">
            <w:pPr>
              <w:spacing w:line="400" w:lineRule="exact"/>
              <w:jc w:val="center"/>
              <w:rPr>
                <w:rFonts w:eastAsia="仿宋_GB2312"/>
                <w:b/>
                <w:szCs w:val="21"/>
              </w:rPr>
            </w:pPr>
            <w:r>
              <w:rPr>
                <w:rFonts w:hint="eastAsia" w:eastAsia="仿宋_GB2312"/>
                <w:b/>
                <w:szCs w:val="21"/>
              </w:rPr>
              <w:t>三级指标</w:t>
            </w:r>
          </w:p>
        </w:tc>
        <w:tc>
          <w:tcPr>
            <w:tcW w:w="1984" w:type="dxa"/>
            <w:noWrap/>
          </w:tcPr>
          <w:p w14:paraId="54BB80F6">
            <w:pPr>
              <w:spacing w:line="400" w:lineRule="exact"/>
              <w:jc w:val="center"/>
              <w:rPr>
                <w:rFonts w:eastAsia="仿宋_GB2312"/>
                <w:b/>
                <w:szCs w:val="21"/>
              </w:rPr>
            </w:pPr>
            <w:r>
              <w:rPr>
                <w:rFonts w:hint="eastAsia" w:eastAsia="仿宋_GB2312"/>
                <w:b/>
                <w:szCs w:val="21"/>
              </w:rPr>
              <w:t>绩效指标值</w:t>
            </w:r>
          </w:p>
        </w:tc>
      </w:tr>
      <w:tr w14:paraId="7038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noWrap/>
            <w:vAlign w:val="center"/>
          </w:tcPr>
          <w:p w14:paraId="474F463F">
            <w:pPr>
              <w:spacing w:line="400" w:lineRule="exact"/>
              <w:jc w:val="center"/>
              <w:rPr>
                <w:rFonts w:eastAsia="仿宋_GB2312"/>
                <w:szCs w:val="21"/>
              </w:rPr>
            </w:pPr>
            <w:r>
              <w:rPr>
                <w:rFonts w:hint="eastAsia" w:eastAsia="仿宋_GB2312"/>
                <w:szCs w:val="21"/>
              </w:rPr>
              <w:t>成本指标</w:t>
            </w:r>
          </w:p>
        </w:tc>
        <w:tc>
          <w:tcPr>
            <w:tcW w:w="2126" w:type="dxa"/>
            <w:noWrap/>
            <w:vAlign w:val="center"/>
          </w:tcPr>
          <w:p w14:paraId="7B9B2392">
            <w:pPr>
              <w:spacing w:line="400" w:lineRule="exact"/>
              <w:jc w:val="center"/>
              <w:rPr>
                <w:rFonts w:eastAsia="仿宋_GB2312"/>
                <w:szCs w:val="21"/>
              </w:rPr>
            </w:pPr>
            <w:r>
              <w:rPr>
                <w:rFonts w:hint="eastAsia" w:eastAsia="仿宋_GB2312"/>
                <w:szCs w:val="21"/>
              </w:rPr>
              <w:t>经济成本指标</w:t>
            </w:r>
          </w:p>
        </w:tc>
        <w:tc>
          <w:tcPr>
            <w:tcW w:w="2931" w:type="dxa"/>
            <w:noWrap/>
            <w:vAlign w:val="center"/>
          </w:tcPr>
          <w:p w14:paraId="34D36FA0">
            <w:pPr>
              <w:spacing w:line="400" w:lineRule="exact"/>
              <w:rPr>
                <w:rFonts w:eastAsia="仿宋_GB2312"/>
                <w:szCs w:val="21"/>
              </w:rPr>
            </w:pPr>
            <w:r>
              <w:rPr>
                <w:rFonts w:hint="eastAsia" w:eastAsia="仿宋_GB2312"/>
                <w:szCs w:val="21"/>
              </w:rPr>
              <w:t>会议费单位成本</w:t>
            </w:r>
          </w:p>
        </w:tc>
        <w:tc>
          <w:tcPr>
            <w:tcW w:w="1984" w:type="dxa"/>
            <w:noWrap/>
            <w:vAlign w:val="center"/>
          </w:tcPr>
          <w:p w14:paraId="69180DB5">
            <w:pPr>
              <w:spacing w:line="400" w:lineRule="exact"/>
              <w:jc w:val="center"/>
              <w:rPr>
                <w:rFonts w:eastAsia="仿宋_GB2312"/>
                <w:szCs w:val="21"/>
              </w:rPr>
            </w:pPr>
            <w:r>
              <w:rPr>
                <w:rFonts w:hint="eastAsia" w:eastAsia="仿宋_GB2312"/>
                <w:szCs w:val="21"/>
              </w:rPr>
              <w:t>≤6</w:t>
            </w:r>
            <w:r>
              <w:rPr>
                <w:rFonts w:eastAsia="仿宋_GB2312"/>
                <w:szCs w:val="21"/>
              </w:rPr>
              <w:t>50</w:t>
            </w:r>
            <w:r>
              <w:rPr>
                <w:rFonts w:hint="eastAsia" w:eastAsia="仿宋_GB2312"/>
                <w:szCs w:val="21"/>
              </w:rPr>
              <w:t>元</w:t>
            </w:r>
            <w:r>
              <w:rPr>
                <w:rFonts w:eastAsia="仿宋_GB2312"/>
                <w:szCs w:val="21"/>
              </w:rPr>
              <w:t>/人·天</w:t>
            </w:r>
          </w:p>
        </w:tc>
      </w:tr>
      <w:tr w14:paraId="3C96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Merge w:val="restart"/>
            <w:noWrap/>
            <w:vAlign w:val="center"/>
          </w:tcPr>
          <w:p w14:paraId="3B86D76E">
            <w:pPr>
              <w:spacing w:line="400" w:lineRule="exact"/>
              <w:jc w:val="center"/>
              <w:rPr>
                <w:rFonts w:eastAsia="仿宋_GB2312"/>
                <w:szCs w:val="21"/>
              </w:rPr>
            </w:pPr>
            <w:r>
              <w:rPr>
                <w:rFonts w:hint="eastAsia" w:eastAsia="仿宋_GB2312"/>
                <w:szCs w:val="21"/>
              </w:rPr>
              <w:t>产出指标</w:t>
            </w:r>
          </w:p>
        </w:tc>
        <w:tc>
          <w:tcPr>
            <w:tcW w:w="2126" w:type="dxa"/>
            <w:vMerge w:val="restart"/>
            <w:noWrap/>
            <w:vAlign w:val="center"/>
          </w:tcPr>
          <w:p w14:paraId="0BC983B4">
            <w:pPr>
              <w:spacing w:line="400" w:lineRule="exact"/>
              <w:jc w:val="center"/>
              <w:rPr>
                <w:rFonts w:eastAsia="仿宋_GB2312"/>
                <w:szCs w:val="21"/>
              </w:rPr>
            </w:pPr>
            <w:r>
              <w:rPr>
                <w:rFonts w:hint="eastAsia" w:eastAsia="仿宋_GB2312"/>
                <w:szCs w:val="21"/>
              </w:rPr>
              <w:t>数量指标</w:t>
            </w:r>
          </w:p>
        </w:tc>
        <w:tc>
          <w:tcPr>
            <w:tcW w:w="2931" w:type="dxa"/>
            <w:noWrap/>
            <w:vAlign w:val="center"/>
          </w:tcPr>
          <w:p w14:paraId="6BD23584">
            <w:pPr>
              <w:spacing w:line="400" w:lineRule="exact"/>
              <w:rPr>
                <w:rFonts w:eastAsia="仿宋_GB2312"/>
                <w:szCs w:val="21"/>
              </w:rPr>
            </w:pPr>
            <w:r>
              <w:rPr>
                <w:rFonts w:hint="eastAsia" w:eastAsia="仿宋_GB2312"/>
                <w:szCs w:val="21"/>
              </w:rPr>
              <w:t>参会人数</w:t>
            </w:r>
          </w:p>
        </w:tc>
        <w:tc>
          <w:tcPr>
            <w:tcW w:w="1984" w:type="dxa"/>
            <w:noWrap/>
            <w:vAlign w:val="center"/>
          </w:tcPr>
          <w:p w14:paraId="4206AAC8">
            <w:pPr>
              <w:spacing w:line="400" w:lineRule="exact"/>
              <w:jc w:val="center"/>
              <w:rPr>
                <w:rFonts w:eastAsia="仿宋_GB2312"/>
                <w:szCs w:val="21"/>
              </w:rPr>
            </w:pPr>
            <w:r>
              <w:rPr>
                <w:rFonts w:hint="eastAsia" w:eastAsia="仿宋_GB2312"/>
                <w:szCs w:val="21"/>
              </w:rPr>
              <w:t>＝</w:t>
            </w:r>
            <w:r>
              <w:rPr>
                <w:rFonts w:eastAsia="仿宋_GB2312"/>
                <w:szCs w:val="21"/>
              </w:rPr>
              <w:t>250</w:t>
            </w:r>
            <w:r>
              <w:rPr>
                <w:rFonts w:hint="eastAsia" w:eastAsia="仿宋_GB2312"/>
                <w:szCs w:val="21"/>
              </w:rPr>
              <w:t>人</w:t>
            </w:r>
          </w:p>
        </w:tc>
      </w:tr>
      <w:tr w14:paraId="11E7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Merge w:val="continue"/>
            <w:noWrap/>
          </w:tcPr>
          <w:p w14:paraId="236FCC9D">
            <w:pPr>
              <w:spacing w:line="400" w:lineRule="exact"/>
              <w:rPr>
                <w:rFonts w:eastAsia="仿宋_GB2312"/>
                <w:szCs w:val="21"/>
              </w:rPr>
            </w:pPr>
          </w:p>
        </w:tc>
        <w:tc>
          <w:tcPr>
            <w:tcW w:w="2126" w:type="dxa"/>
            <w:vMerge w:val="continue"/>
            <w:noWrap/>
            <w:vAlign w:val="center"/>
          </w:tcPr>
          <w:p w14:paraId="25E0D73A">
            <w:pPr>
              <w:spacing w:line="400" w:lineRule="exact"/>
              <w:jc w:val="center"/>
              <w:rPr>
                <w:rFonts w:eastAsia="仿宋_GB2312"/>
                <w:szCs w:val="21"/>
              </w:rPr>
            </w:pPr>
          </w:p>
        </w:tc>
        <w:tc>
          <w:tcPr>
            <w:tcW w:w="2931" w:type="dxa"/>
            <w:noWrap/>
            <w:vAlign w:val="center"/>
          </w:tcPr>
          <w:p w14:paraId="70E1DD24">
            <w:pPr>
              <w:spacing w:line="400" w:lineRule="exact"/>
              <w:rPr>
                <w:rFonts w:eastAsia="仿宋_GB2312"/>
                <w:szCs w:val="21"/>
              </w:rPr>
            </w:pPr>
            <w:r>
              <w:rPr>
                <w:rFonts w:hint="eastAsia" w:eastAsia="仿宋_GB2312"/>
                <w:szCs w:val="21"/>
              </w:rPr>
              <w:t>会议会期时长</w:t>
            </w:r>
          </w:p>
        </w:tc>
        <w:tc>
          <w:tcPr>
            <w:tcW w:w="1984" w:type="dxa"/>
            <w:noWrap/>
            <w:vAlign w:val="center"/>
          </w:tcPr>
          <w:p w14:paraId="637AF39B">
            <w:pPr>
              <w:spacing w:line="400" w:lineRule="exact"/>
              <w:jc w:val="center"/>
              <w:rPr>
                <w:rFonts w:eastAsia="仿宋_GB2312"/>
                <w:szCs w:val="21"/>
              </w:rPr>
            </w:pPr>
            <w:r>
              <w:rPr>
                <w:rFonts w:hint="eastAsia" w:eastAsia="仿宋_GB2312"/>
                <w:szCs w:val="21"/>
              </w:rPr>
              <w:t>＝2天</w:t>
            </w:r>
          </w:p>
        </w:tc>
      </w:tr>
      <w:tr w14:paraId="2C28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Merge w:val="continue"/>
            <w:noWrap/>
          </w:tcPr>
          <w:p w14:paraId="1B74E087">
            <w:pPr>
              <w:spacing w:line="400" w:lineRule="exact"/>
              <w:rPr>
                <w:rFonts w:eastAsia="仿宋_GB2312"/>
                <w:szCs w:val="21"/>
              </w:rPr>
            </w:pPr>
          </w:p>
        </w:tc>
        <w:tc>
          <w:tcPr>
            <w:tcW w:w="2126" w:type="dxa"/>
            <w:noWrap/>
            <w:vAlign w:val="center"/>
          </w:tcPr>
          <w:p w14:paraId="33333BE7">
            <w:pPr>
              <w:spacing w:line="400" w:lineRule="exact"/>
              <w:jc w:val="center"/>
              <w:rPr>
                <w:rFonts w:eastAsia="仿宋_GB2312"/>
                <w:szCs w:val="21"/>
              </w:rPr>
            </w:pPr>
            <w:r>
              <w:rPr>
                <w:rFonts w:hint="eastAsia" w:eastAsia="仿宋_GB2312"/>
                <w:szCs w:val="21"/>
              </w:rPr>
              <w:t>质量指标</w:t>
            </w:r>
          </w:p>
        </w:tc>
        <w:tc>
          <w:tcPr>
            <w:tcW w:w="2931" w:type="dxa"/>
            <w:noWrap/>
            <w:vAlign w:val="center"/>
          </w:tcPr>
          <w:p w14:paraId="7E7EE58D">
            <w:pPr>
              <w:spacing w:line="400" w:lineRule="exact"/>
              <w:rPr>
                <w:rFonts w:eastAsia="仿宋_GB2312"/>
                <w:szCs w:val="21"/>
              </w:rPr>
            </w:pPr>
            <w:r>
              <w:rPr>
                <w:rFonts w:hint="eastAsia" w:eastAsia="仿宋_GB2312"/>
                <w:szCs w:val="21"/>
              </w:rPr>
              <w:t>...</w:t>
            </w:r>
          </w:p>
        </w:tc>
        <w:tc>
          <w:tcPr>
            <w:tcW w:w="1984" w:type="dxa"/>
            <w:noWrap/>
            <w:vAlign w:val="center"/>
          </w:tcPr>
          <w:p w14:paraId="7AFCBF9C">
            <w:pPr>
              <w:spacing w:line="400" w:lineRule="exact"/>
              <w:jc w:val="center"/>
              <w:rPr>
                <w:rFonts w:eastAsia="仿宋_GB2312"/>
                <w:szCs w:val="21"/>
              </w:rPr>
            </w:pPr>
            <w:r>
              <w:rPr>
                <w:rFonts w:hint="eastAsia" w:eastAsia="仿宋_GB2312"/>
                <w:szCs w:val="21"/>
              </w:rPr>
              <w:t>...</w:t>
            </w:r>
          </w:p>
        </w:tc>
      </w:tr>
      <w:tr w14:paraId="7CAE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vMerge w:val="continue"/>
            <w:noWrap/>
            <w:vAlign w:val="center"/>
          </w:tcPr>
          <w:p w14:paraId="2B42FB5E">
            <w:pPr>
              <w:spacing w:line="400" w:lineRule="exact"/>
              <w:jc w:val="center"/>
              <w:rPr>
                <w:rFonts w:eastAsia="仿宋_GB2312"/>
                <w:szCs w:val="21"/>
              </w:rPr>
            </w:pPr>
          </w:p>
        </w:tc>
        <w:tc>
          <w:tcPr>
            <w:tcW w:w="2126" w:type="dxa"/>
            <w:noWrap/>
            <w:vAlign w:val="center"/>
          </w:tcPr>
          <w:p w14:paraId="7BD116B9">
            <w:pPr>
              <w:spacing w:line="400" w:lineRule="exact"/>
              <w:jc w:val="center"/>
              <w:rPr>
                <w:rFonts w:eastAsia="仿宋_GB2312"/>
                <w:szCs w:val="21"/>
              </w:rPr>
            </w:pPr>
            <w:r>
              <w:rPr>
                <w:rFonts w:hint="eastAsia" w:eastAsia="仿宋_GB2312"/>
                <w:szCs w:val="21"/>
              </w:rPr>
              <w:t>时效指标</w:t>
            </w:r>
          </w:p>
        </w:tc>
        <w:tc>
          <w:tcPr>
            <w:tcW w:w="2931" w:type="dxa"/>
            <w:noWrap/>
            <w:vAlign w:val="center"/>
          </w:tcPr>
          <w:p w14:paraId="4FE4F5F3">
            <w:pPr>
              <w:spacing w:line="400" w:lineRule="exact"/>
              <w:rPr>
                <w:rFonts w:eastAsia="仿宋_GB2312"/>
                <w:szCs w:val="21"/>
              </w:rPr>
            </w:pPr>
            <w:r>
              <w:rPr>
                <w:rFonts w:hint="eastAsia" w:eastAsia="仿宋_GB2312"/>
                <w:szCs w:val="21"/>
              </w:rPr>
              <w:t>第二季度开展</w:t>
            </w:r>
          </w:p>
        </w:tc>
        <w:tc>
          <w:tcPr>
            <w:tcW w:w="1984" w:type="dxa"/>
            <w:noWrap/>
            <w:vAlign w:val="center"/>
          </w:tcPr>
          <w:p w14:paraId="7343CC7E">
            <w:pPr>
              <w:spacing w:line="400" w:lineRule="exact"/>
              <w:jc w:val="center"/>
              <w:rPr>
                <w:rFonts w:eastAsia="仿宋_GB2312"/>
                <w:szCs w:val="21"/>
              </w:rPr>
            </w:pPr>
            <w:r>
              <w:rPr>
                <w:rFonts w:hint="eastAsia" w:eastAsia="仿宋_GB2312"/>
                <w:szCs w:val="21"/>
              </w:rPr>
              <w:t>完成</w:t>
            </w:r>
          </w:p>
        </w:tc>
      </w:tr>
      <w:tr w14:paraId="554A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noWrap/>
            <w:vAlign w:val="center"/>
          </w:tcPr>
          <w:p w14:paraId="776BB502">
            <w:pPr>
              <w:spacing w:line="400" w:lineRule="exact"/>
              <w:jc w:val="center"/>
              <w:rPr>
                <w:rFonts w:eastAsia="仿宋_GB2312"/>
                <w:szCs w:val="21"/>
              </w:rPr>
            </w:pPr>
            <w:r>
              <w:rPr>
                <w:rFonts w:hint="eastAsia" w:eastAsia="仿宋_GB2312"/>
                <w:szCs w:val="21"/>
              </w:rPr>
              <w:t>效益指标</w:t>
            </w:r>
          </w:p>
        </w:tc>
        <w:tc>
          <w:tcPr>
            <w:tcW w:w="2126" w:type="dxa"/>
            <w:noWrap/>
            <w:vAlign w:val="center"/>
          </w:tcPr>
          <w:p w14:paraId="5F14A143">
            <w:pPr>
              <w:spacing w:line="400" w:lineRule="exact"/>
              <w:jc w:val="center"/>
              <w:rPr>
                <w:rFonts w:eastAsia="仿宋_GB2312"/>
                <w:szCs w:val="21"/>
              </w:rPr>
            </w:pPr>
            <w:r>
              <w:rPr>
                <w:rFonts w:hint="eastAsia" w:eastAsia="仿宋_GB2312"/>
                <w:szCs w:val="21"/>
              </w:rPr>
              <w:t>...</w:t>
            </w:r>
          </w:p>
        </w:tc>
        <w:tc>
          <w:tcPr>
            <w:tcW w:w="2931" w:type="dxa"/>
            <w:noWrap/>
            <w:vAlign w:val="center"/>
          </w:tcPr>
          <w:p w14:paraId="0B0672BA">
            <w:pPr>
              <w:spacing w:line="400" w:lineRule="exact"/>
              <w:rPr>
                <w:rFonts w:eastAsia="仿宋_GB2312"/>
                <w:szCs w:val="21"/>
              </w:rPr>
            </w:pPr>
            <w:r>
              <w:rPr>
                <w:rFonts w:hint="eastAsia" w:eastAsia="仿宋_GB2312"/>
                <w:szCs w:val="21"/>
              </w:rPr>
              <w:t>...</w:t>
            </w:r>
          </w:p>
        </w:tc>
        <w:tc>
          <w:tcPr>
            <w:tcW w:w="1984" w:type="dxa"/>
            <w:noWrap/>
            <w:vAlign w:val="center"/>
          </w:tcPr>
          <w:p w14:paraId="220D4D28">
            <w:pPr>
              <w:spacing w:line="400" w:lineRule="exact"/>
              <w:jc w:val="center"/>
              <w:rPr>
                <w:rFonts w:eastAsia="仿宋_GB2312"/>
                <w:szCs w:val="21"/>
              </w:rPr>
            </w:pPr>
            <w:r>
              <w:rPr>
                <w:rFonts w:hint="eastAsia" w:eastAsia="仿宋_GB2312"/>
                <w:szCs w:val="21"/>
              </w:rPr>
              <w:t>...</w:t>
            </w:r>
          </w:p>
        </w:tc>
      </w:tr>
      <w:tr w14:paraId="1D2D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2" w:type="dxa"/>
            <w:noWrap/>
            <w:vAlign w:val="center"/>
          </w:tcPr>
          <w:p w14:paraId="7E68BC1B">
            <w:pPr>
              <w:spacing w:line="400" w:lineRule="exact"/>
              <w:jc w:val="center"/>
              <w:rPr>
                <w:rFonts w:eastAsia="仿宋_GB2312"/>
                <w:szCs w:val="21"/>
              </w:rPr>
            </w:pPr>
            <w:r>
              <w:rPr>
                <w:rFonts w:hint="eastAsia" w:eastAsia="仿宋_GB2312"/>
                <w:szCs w:val="21"/>
              </w:rPr>
              <w:t>满意度指标</w:t>
            </w:r>
          </w:p>
        </w:tc>
        <w:tc>
          <w:tcPr>
            <w:tcW w:w="2126" w:type="dxa"/>
            <w:noWrap/>
            <w:vAlign w:val="center"/>
          </w:tcPr>
          <w:p w14:paraId="371F8A70">
            <w:pPr>
              <w:spacing w:line="400" w:lineRule="exact"/>
              <w:jc w:val="center"/>
              <w:rPr>
                <w:rFonts w:eastAsia="仿宋_GB2312"/>
                <w:szCs w:val="21"/>
              </w:rPr>
            </w:pPr>
            <w:r>
              <w:rPr>
                <w:rFonts w:hint="eastAsia" w:eastAsia="仿宋_GB2312"/>
                <w:szCs w:val="21"/>
              </w:rPr>
              <w:t>服务对象满意度</w:t>
            </w:r>
          </w:p>
        </w:tc>
        <w:tc>
          <w:tcPr>
            <w:tcW w:w="2931" w:type="dxa"/>
            <w:noWrap/>
            <w:vAlign w:val="center"/>
          </w:tcPr>
          <w:p w14:paraId="0E01A148">
            <w:pPr>
              <w:spacing w:line="400" w:lineRule="exact"/>
              <w:rPr>
                <w:rFonts w:eastAsia="仿宋_GB2312"/>
                <w:szCs w:val="21"/>
              </w:rPr>
            </w:pPr>
            <w:r>
              <w:rPr>
                <w:rFonts w:hint="eastAsia" w:eastAsia="仿宋_GB2312"/>
                <w:szCs w:val="21"/>
              </w:rPr>
              <w:t>...</w:t>
            </w:r>
          </w:p>
        </w:tc>
        <w:tc>
          <w:tcPr>
            <w:tcW w:w="1984" w:type="dxa"/>
            <w:noWrap/>
            <w:vAlign w:val="center"/>
          </w:tcPr>
          <w:p w14:paraId="6E3033A2">
            <w:pPr>
              <w:spacing w:line="400" w:lineRule="exact"/>
              <w:jc w:val="center"/>
              <w:rPr>
                <w:rFonts w:eastAsia="仿宋_GB2312"/>
                <w:szCs w:val="21"/>
              </w:rPr>
            </w:pPr>
            <w:r>
              <w:rPr>
                <w:rFonts w:hint="eastAsia" w:eastAsia="仿宋_GB2312"/>
                <w:szCs w:val="21"/>
              </w:rPr>
              <w:t>...</w:t>
            </w:r>
          </w:p>
        </w:tc>
      </w:tr>
    </w:tbl>
    <w:p w14:paraId="46ED47AD">
      <w:pPr>
        <w:spacing w:line="600" w:lineRule="exact"/>
        <w:ind w:firstLine="640" w:firstLineChars="200"/>
        <w:rPr>
          <w:rFonts w:eastAsia="仿宋_GB2312"/>
          <w:sz w:val="32"/>
          <w:szCs w:val="32"/>
        </w:rPr>
      </w:pPr>
      <w:r>
        <w:rPr>
          <w:rFonts w:hint="eastAsia" w:eastAsia="仿宋_GB2312"/>
          <w:sz w:val="32"/>
          <w:szCs w:val="32"/>
        </w:rPr>
        <w:t>项目总成本</w:t>
      </w:r>
      <w:r>
        <w:rPr>
          <w:rFonts w:hint="eastAsia" w:ascii="仿宋_GB2312" w:hAnsi="仿宋_GB2312" w:cs="仿宋_GB2312"/>
          <w:bCs/>
          <w:szCs w:val="32"/>
        </w:rPr>
        <w:t>≤</w:t>
      </w:r>
      <w:r>
        <w:rPr>
          <w:rFonts w:hint="eastAsia" w:eastAsia="仿宋_GB2312"/>
          <w:sz w:val="32"/>
          <w:szCs w:val="32"/>
        </w:rPr>
        <w:t>会议费单位成本×参会人数×会议会期时长</w:t>
      </w:r>
      <w:r>
        <w:rPr>
          <w:rFonts w:hint="eastAsia" w:ascii="仿宋_GB2312" w:hAnsi="仿宋_GB2312" w:cs="仿宋_GB2312"/>
          <w:bCs/>
          <w:szCs w:val="32"/>
        </w:rPr>
        <w:t>=</w:t>
      </w:r>
      <w:r>
        <w:rPr>
          <w:rFonts w:eastAsia="仿宋_GB2312"/>
          <w:sz w:val="32"/>
          <w:szCs w:val="32"/>
        </w:rPr>
        <w:t>650/人·天</w:t>
      </w:r>
      <w:r>
        <w:rPr>
          <w:rFonts w:hint="eastAsia" w:eastAsia="仿宋_GB2312"/>
          <w:sz w:val="32"/>
          <w:szCs w:val="32"/>
        </w:rPr>
        <w:t>×</w:t>
      </w:r>
      <w:r>
        <w:rPr>
          <w:rFonts w:eastAsia="仿宋_GB2312"/>
          <w:sz w:val="32"/>
          <w:szCs w:val="32"/>
        </w:rPr>
        <w:t>250</w:t>
      </w:r>
      <w:r>
        <w:rPr>
          <w:rFonts w:hint="eastAsia" w:eastAsia="仿宋_GB2312"/>
          <w:sz w:val="32"/>
          <w:szCs w:val="32"/>
        </w:rPr>
        <w:t>人×</w:t>
      </w:r>
      <w:r>
        <w:rPr>
          <w:rFonts w:eastAsia="仿宋_GB2312"/>
          <w:sz w:val="32"/>
          <w:szCs w:val="32"/>
        </w:rPr>
        <w:t>2</w:t>
      </w:r>
      <w:r>
        <w:rPr>
          <w:rFonts w:hint="eastAsia" w:eastAsia="仿宋_GB2312"/>
          <w:sz w:val="32"/>
          <w:szCs w:val="32"/>
        </w:rPr>
        <w:t>天=</w:t>
      </w:r>
      <w:r>
        <w:rPr>
          <w:rFonts w:eastAsia="仿宋_GB2312"/>
          <w:sz w:val="32"/>
          <w:szCs w:val="32"/>
        </w:rPr>
        <w:t>32.5</w:t>
      </w:r>
      <w:r>
        <w:rPr>
          <w:rFonts w:hint="eastAsia" w:eastAsia="仿宋_GB2312"/>
          <w:sz w:val="32"/>
          <w:szCs w:val="32"/>
        </w:rPr>
        <w:t>万元。由此，确定本项目预算总额不高于</w:t>
      </w:r>
      <w:r>
        <w:rPr>
          <w:rFonts w:eastAsia="仿宋_GB2312"/>
          <w:sz w:val="32"/>
          <w:szCs w:val="32"/>
        </w:rPr>
        <w:t>32.5</w:t>
      </w:r>
      <w:r>
        <w:rPr>
          <w:rFonts w:hint="eastAsia" w:eastAsia="仿宋_GB2312"/>
          <w:sz w:val="32"/>
          <w:szCs w:val="32"/>
        </w:rPr>
        <w:t>万元。</w:t>
      </w:r>
    </w:p>
    <w:p w14:paraId="6A5F8DC7">
      <w:pPr>
        <w:spacing w:line="600" w:lineRule="exact"/>
        <w:ind w:firstLine="643" w:firstLineChars="200"/>
        <w:rPr>
          <w:rFonts w:eastAsia="仿宋_GB2312"/>
          <w:b/>
          <w:bCs/>
          <w:sz w:val="32"/>
          <w:szCs w:val="32"/>
        </w:rPr>
      </w:pPr>
      <w:r>
        <w:rPr>
          <w:rFonts w:hint="eastAsia" w:eastAsia="仿宋_GB2312"/>
          <w:b/>
          <w:bCs/>
          <w:sz w:val="32"/>
          <w:szCs w:val="32"/>
        </w:rPr>
        <w:t>（2）对于已开展成本预算绩效分析的，结合形成的公共服务绩效标准、成本定额标准等，确定单位成本指标。</w:t>
      </w:r>
    </w:p>
    <w:p w14:paraId="2151B6FC">
      <w:pPr>
        <w:spacing w:line="600" w:lineRule="exact"/>
        <w:ind w:firstLine="640" w:firstLineChars="200"/>
        <w:rPr>
          <w:rFonts w:eastAsia="仿宋_GB2312"/>
          <w:sz w:val="32"/>
          <w:szCs w:val="32"/>
        </w:rPr>
      </w:pPr>
      <w:r>
        <w:rPr>
          <w:rFonts w:hint="eastAsia" w:eastAsia="仿宋_GB2312"/>
          <w:sz w:val="32"/>
          <w:szCs w:val="32"/>
        </w:rPr>
        <w:t>【案例2】</w:t>
      </w:r>
      <w:r>
        <w:rPr>
          <w:rFonts w:eastAsia="仿宋_GB2312"/>
          <w:sz w:val="32"/>
          <w:szCs w:val="32"/>
        </w:rPr>
        <w:t>以</w:t>
      </w:r>
      <w:r>
        <w:rPr>
          <w:rFonts w:hint="eastAsia" w:ascii="仿宋_GB2312" w:hAnsi="仿宋_GB2312" w:eastAsia="仿宋_GB2312" w:cs="仿宋_GB2312"/>
          <w:sz w:val="32"/>
          <w:szCs w:val="32"/>
        </w:rPr>
        <w:t>“高标准农田”项目</w:t>
      </w:r>
      <w:r>
        <w:rPr>
          <w:rFonts w:eastAsia="仿宋_GB2312"/>
          <w:sz w:val="32"/>
          <w:szCs w:val="32"/>
        </w:rPr>
        <w:t>为例：</w:t>
      </w:r>
    </w:p>
    <w:p w14:paraId="394E968A">
      <w:pPr>
        <w:spacing w:line="600" w:lineRule="exact"/>
        <w:ind w:firstLine="640" w:firstLineChars="200"/>
        <w:rPr>
          <w:rFonts w:eastAsia="仿宋_GB2312"/>
          <w:sz w:val="32"/>
          <w:szCs w:val="32"/>
        </w:rPr>
      </w:pPr>
      <w:r>
        <w:rPr>
          <w:rFonts w:hint="eastAsia" w:eastAsia="仿宋_GB2312"/>
          <w:sz w:val="32"/>
          <w:szCs w:val="32"/>
        </w:rPr>
        <w:t>某区高标准农田建设项目，项目区耕地面积约1050亩。绩效指标设置路径如下：</w:t>
      </w:r>
    </w:p>
    <w:p w14:paraId="221B9646">
      <w:pPr>
        <w:spacing w:line="600" w:lineRule="exact"/>
        <w:ind w:firstLine="640" w:firstLineChars="200"/>
        <w:rPr>
          <w:rFonts w:eastAsia="仿宋_GB2312"/>
          <w:sz w:val="32"/>
          <w:szCs w:val="32"/>
        </w:rPr>
      </w:pPr>
      <w:r>
        <w:rPr>
          <w:rFonts w:hint="eastAsia" w:eastAsia="仿宋_GB2312"/>
          <w:sz w:val="32"/>
          <w:szCs w:val="32"/>
        </w:rPr>
        <w:t>第一步：梳理适用标准。对开展成本预算绩效分析的项目，结合项目实际，梳理适用的“三个标准”。如，梳理高标准农田项目的分析成果，适用的公共服务绩效标准（或绩效基线）为：“</w:t>
      </w:r>
      <w:r>
        <w:rPr>
          <w:rFonts w:hint="eastAsia" w:eastAsia="仿宋_GB2312"/>
          <w:color w:val="000000"/>
          <w:sz w:val="32"/>
          <w:szCs w:val="32"/>
        </w:rPr>
        <w:t>区域内受防护农田面积比例</w:t>
      </w:r>
      <w:r>
        <w:rPr>
          <w:rFonts w:hint="eastAsia" w:eastAsia="仿宋_GB2312"/>
          <w:sz w:val="32"/>
          <w:szCs w:val="32"/>
        </w:rPr>
        <w:t>”标准、“</w:t>
      </w:r>
      <w:r>
        <w:rPr>
          <w:rFonts w:hint="eastAsia" w:eastAsia="仿宋_GB2312"/>
          <w:color w:val="000000"/>
          <w:sz w:val="32"/>
          <w:szCs w:val="32"/>
        </w:rPr>
        <w:t>提高亩均产量</w:t>
      </w:r>
      <w:r>
        <w:rPr>
          <w:rFonts w:hint="eastAsia" w:eastAsia="仿宋_GB2312"/>
          <w:sz w:val="32"/>
          <w:szCs w:val="32"/>
        </w:rPr>
        <w:t>”标准、“</w:t>
      </w:r>
      <w:r>
        <w:rPr>
          <w:rFonts w:hint="eastAsia" w:eastAsia="仿宋_GB2312"/>
          <w:color w:val="000000"/>
          <w:sz w:val="32"/>
          <w:szCs w:val="32"/>
        </w:rPr>
        <w:t>减少化肥农药使用量</w:t>
      </w:r>
      <w:r>
        <w:rPr>
          <w:rFonts w:hint="eastAsia" w:eastAsia="仿宋_GB2312"/>
          <w:sz w:val="32"/>
          <w:szCs w:val="32"/>
        </w:rPr>
        <w:t>”标准等；适用的成本定额标准为：单项300亩及以下高标准农田亩均投资规模≤X元；单项300亩-1000亩高标准农田亩均投资规模≤Y元；单项1000亩及以上高标准农田亩均投资规模≤Z元。</w:t>
      </w:r>
    </w:p>
    <w:p w14:paraId="77002CAD">
      <w:pPr>
        <w:spacing w:line="600" w:lineRule="exact"/>
        <w:ind w:firstLine="640" w:firstLineChars="200"/>
        <w:rPr>
          <w:rFonts w:eastAsia="仿宋_GB2312"/>
          <w:sz w:val="32"/>
          <w:szCs w:val="32"/>
        </w:rPr>
      </w:pPr>
      <w:r>
        <w:rPr>
          <w:rFonts w:hint="eastAsia" w:eastAsia="仿宋_GB2312"/>
          <w:sz w:val="32"/>
          <w:szCs w:val="32"/>
        </w:rPr>
        <w:t>第二步：确定成本指标。参照成本定额标准，“单项1000亩及以上高标准农田亩均投资规模≤Z元。”可作为经济成本指标。</w:t>
      </w:r>
    </w:p>
    <w:p w14:paraId="44C0CEDB">
      <w:pPr>
        <w:spacing w:line="600" w:lineRule="exact"/>
        <w:ind w:firstLine="640" w:firstLineChars="200"/>
        <w:rPr>
          <w:rFonts w:eastAsia="仿宋_GB2312"/>
          <w:sz w:val="32"/>
          <w:szCs w:val="32"/>
        </w:rPr>
      </w:pPr>
      <w:r>
        <w:rPr>
          <w:rFonts w:hint="eastAsia" w:eastAsia="仿宋_GB2312"/>
          <w:sz w:val="32"/>
          <w:szCs w:val="32"/>
        </w:rPr>
        <w:t>第三步：确定产出指标、效益指标和满意度指标等。参照公共服务绩效标准（或绩效基线），如：“</w:t>
      </w:r>
      <w:r>
        <w:rPr>
          <w:rFonts w:hint="eastAsia" w:eastAsia="仿宋_GB2312"/>
          <w:color w:val="000000"/>
          <w:sz w:val="32"/>
          <w:szCs w:val="32"/>
        </w:rPr>
        <w:t>区域内受防护农田面积比例</w:t>
      </w:r>
      <w:r>
        <w:rPr>
          <w:rFonts w:hint="eastAsia" w:eastAsia="仿宋_GB2312"/>
          <w:sz w:val="32"/>
          <w:szCs w:val="32"/>
        </w:rPr>
        <w:t>”标准可作为质量指标；“</w:t>
      </w:r>
      <w:r>
        <w:rPr>
          <w:rFonts w:hint="eastAsia" w:eastAsia="仿宋_GB2312"/>
          <w:color w:val="000000"/>
          <w:sz w:val="32"/>
          <w:szCs w:val="32"/>
        </w:rPr>
        <w:t>提高亩均产量</w:t>
      </w:r>
      <w:r>
        <w:rPr>
          <w:rFonts w:hint="eastAsia" w:eastAsia="仿宋_GB2312"/>
          <w:sz w:val="32"/>
          <w:szCs w:val="32"/>
        </w:rPr>
        <w:t>”标准可作为经济效益指标；“</w:t>
      </w:r>
      <w:r>
        <w:rPr>
          <w:rFonts w:hint="eastAsia" w:eastAsia="仿宋_GB2312"/>
          <w:color w:val="000000"/>
          <w:sz w:val="32"/>
          <w:szCs w:val="32"/>
        </w:rPr>
        <w:t>减少化肥农药使用量</w:t>
      </w:r>
      <w:r>
        <w:rPr>
          <w:rFonts w:hint="eastAsia" w:eastAsia="仿宋_GB2312"/>
          <w:sz w:val="32"/>
          <w:szCs w:val="32"/>
        </w:rPr>
        <w:t>”标准可作为生态效益指标等。</w:t>
      </w:r>
    </w:p>
    <w:p w14:paraId="4702776B">
      <w:pPr>
        <w:spacing w:line="600" w:lineRule="exact"/>
        <w:ind w:firstLine="640" w:firstLineChars="200"/>
        <w:rPr>
          <w:rFonts w:eastAsia="仿宋_GB2312"/>
          <w:sz w:val="32"/>
          <w:szCs w:val="32"/>
        </w:rPr>
      </w:pPr>
      <w:r>
        <w:rPr>
          <w:rFonts w:hint="eastAsia" w:eastAsia="仿宋_GB2312"/>
          <w:sz w:val="32"/>
          <w:szCs w:val="32"/>
        </w:rPr>
        <w:t>绩效指标及标杆值如下（部分指标）：</w:t>
      </w:r>
    </w:p>
    <w:tbl>
      <w:tblPr>
        <w:tblStyle w:val="14"/>
        <w:tblW w:w="8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2"/>
        <w:gridCol w:w="1762"/>
        <w:gridCol w:w="4200"/>
        <w:gridCol w:w="1325"/>
      </w:tblGrid>
      <w:tr w14:paraId="799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noWrap/>
          </w:tcPr>
          <w:p w14:paraId="6DACCC7A">
            <w:pPr>
              <w:spacing w:line="400" w:lineRule="exact"/>
              <w:jc w:val="center"/>
              <w:rPr>
                <w:rFonts w:eastAsia="仿宋_GB2312"/>
                <w:b/>
                <w:szCs w:val="21"/>
              </w:rPr>
            </w:pPr>
            <w:r>
              <w:rPr>
                <w:rFonts w:hint="eastAsia" w:eastAsia="仿宋_GB2312"/>
                <w:b/>
                <w:szCs w:val="21"/>
              </w:rPr>
              <w:t>一级指标</w:t>
            </w:r>
          </w:p>
        </w:tc>
        <w:tc>
          <w:tcPr>
            <w:tcW w:w="1762" w:type="dxa"/>
            <w:noWrap/>
          </w:tcPr>
          <w:p w14:paraId="775C1E80">
            <w:pPr>
              <w:spacing w:line="400" w:lineRule="exact"/>
              <w:jc w:val="center"/>
              <w:rPr>
                <w:rFonts w:eastAsia="仿宋_GB2312"/>
                <w:b/>
                <w:szCs w:val="21"/>
              </w:rPr>
            </w:pPr>
            <w:r>
              <w:rPr>
                <w:rFonts w:hint="eastAsia" w:eastAsia="仿宋_GB2312"/>
                <w:b/>
                <w:szCs w:val="21"/>
              </w:rPr>
              <w:t>二级指标</w:t>
            </w:r>
          </w:p>
        </w:tc>
        <w:tc>
          <w:tcPr>
            <w:tcW w:w="4200" w:type="dxa"/>
            <w:noWrap/>
          </w:tcPr>
          <w:p w14:paraId="6EFD69F0">
            <w:pPr>
              <w:spacing w:line="400" w:lineRule="exact"/>
              <w:jc w:val="center"/>
              <w:rPr>
                <w:rFonts w:eastAsia="仿宋_GB2312"/>
                <w:b/>
                <w:szCs w:val="21"/>
              </w:rPr>
            </w:pPr>
            <w:r>
              <w:rPr>
                <w:rFonts w:hint="eastAsia" w:eastAsia="仿宋_GB2312"/>
                <w:b/>
                <w:szCs w:val="21"/>
              </w:rPr>
              <w:t>三级指标</w:t>
            </w:r>
          </w:p>
        </w:tc>
        <w:tc>
          <w:tcPr>
            <w:tcW w:w="1325" w:type="dxa"/>
            <w:noWrap/>
          </w:tcPr>
          <w:p w14:paraId="7BD4F2EB">
            <w:pPr>
              <w:spacing w:line="400" w:lineRule="exact"/>
              <w:jc w:val="center"/>
              <w:rPr>
                <w:rFonts w:eastAsia="仿宋_GB2312"/>
                <w:b/>
                <w:szCs w:val="21"/>
              </w:rPr>
            </w:pPr>
            <w:r>
              <w:rPr>
                <w:rFonts w:hint="eastAsia" w:eastAsia="仿宋_GB2312"/>
                <w:b/>
                <w:szCs w:val="21"/>
              </w:rPr>
              <w:t>绩效指标值</w:t>
            </w:r>
          </w:p>
        </w:tc>
      </w:tr>
      <w:tr w14:paraId="19E7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noWrap/>
            <w:vAlign w:val="center"/>
          </w:tcPr>
          <w:p w14:paraId="3EF266C9">
            <w:pPr>
              <w:spacing w:line="400" w:lineRule="exact"/>
              <w:jc w:val="center"/>
              <w:rPr>
                <w:rFonts w:eastAsia="仿宋_GB2312"/>
                <w:szCs w:val="21"/>
              </w:rPr>
            </w:pPr>
            <w:r>
              <w:rPr>
                <w:rFonts w:hint="eastAsia" w:eastAsia="仿宋_GB2312"/>
                <w:szCs w:val="21"/>
              </w:rPr>
              <w:t>成本指标</w:t>
            </w:r>
          </w:p>
        </w:tc>
        <w:tc>
          <w:tcPr>
            <w:tcW w:w="1762" w:type="dxa"/>
            <w:noWrap/>
            <w:vAlign w:val="center"/>
          </w:tcPr>
          <w:p w14:paraId="50013FE0">
            <w:pPr>
              <w:spacing w:line="400" w:lineRule="exact"/>
              <w:jc w:val="center"/>
              <w:rPr>
                <w:rFonts w:eastAsia="仿宋_GB2312"/>
                <w:szCs w:val="21"/>
              </w:rPr>
            </w:pPr>
            <w:r>
              <w:rPr>
                <w:rFonts w:hint="eastAsia" w:eastAsia="仿宋_GB2312"/>
                <w:szCs w:val="21"/>
              </w:rPr>
              <w:t>经济成本指标</w:t>
            </w:r>
          </w:p>
        </w:tc>
        <w:tc>
          <w:tcPr>
            <w:tcW w:w="4200" w:type="dxa"/>
            <w:noWrap/>
            <w:vAlign w:val="center"/>
          </w:tcPr>
          <w:p w14:paraId="41E13794">
            <w:pPr>
              <w:spacing w:line="400" w:lineRule="exact"/>
              <w:rPr>
                <w:rFonts w:eastAsia="仿宋_GB2312"/>
                <w:sz w:val="18"/>
                <w:szCs w:val="18"/>
              </w:rPr>
            </w:pPr>
            <w:r>
              <w:rPr>
                <w:rFonts w:hint="eastAsia" w:eastAsia="仿宋_GB2312"/>
                <w:sz w:val="18"/>
                <w:szCs w:val="18"/>
              </w:rPr>
              <w:t>单项1000亩及以上高标准农田亩均投资规模</w:t>
            </w:r>
          </w:p>
        </w:tc>
        <w:tc>
          <w:tcPr>
            <w:tcW w:w="1325" w:type="dxa"/>
            <w:noWrap/>
            <w:vAlign w:val="center"/>
          </w:tcPr>
          <w:p w14:paraId="05BB10CD">
            <w:pPr>
              <w:spacing w:line="400" w:lineRule="exact"/>
              <w:jc w:val="center"/>
              <w:rPr>
                <w:rFonts w:eastAsia="仿宋_GB2312"/>
                <w:szCs w:val="21"/>
              </w:rPr>
            </w:pPr>
            <w:r>
              <w:rPr>
                <w:rFonts w:hint="eastAsia" w:eastAsia="仿宋_GB2312"/>
                <w:szCs w:val="21"/>
              </w:rPr>
              <w:t>≤Z元</w:t>
            </w:r>
          </w:p>
        </w:tc>
      </w:tr>
      <w:tr w14:paraId="213C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restart"/>
            <w:noWrap/>
            <w:vAlign w:val="center"/>
          </w:tcPr>
          <w:p w14:paraId="22786392">
            <w:pPr>
              <w:spacing w:line="400" w:lineRule="exact"/>
              <w:jc w:val="center"/>
              <w:rPr>
                <w:rFonts w:eastAsia="仿宋_GB2312"/>
                <w:szCs w:val="21"/>
              </w:rPr>
            </w:pPr>
            <w:r>
              <w:rPr>
                <w:rFonts w:hint="eastAsia" w:eastAsia="仿宋_GB2312"/>
                <w:szCs w:val="21"/>
              </w:rPr>
              <w:t>产出指标</w:t>
            </w:r>
          </w:p>
        </w:tc>
        <w:tc>
          <w:tcPr>
            <w:tcW w:w="1762" w:type="dxa"/>
            <w:noWrap/>
            <w:vAlign w:val="center"/>
          </w:tcPr>
          <w:p w14:paraId="275DAC0C">
            <w:pPr>
              <w:spacing w:line="400" w:lineRule="exact"/>
              <w:jc w:val="center"/>
              <w:rPr>
                <w:rFonts w:eastAsia="仿宋_GB2312"/>
                <w:szCs w:val="21"/>
              </w:rPr>
            </w:pPr>
            <w:r>
              <w:rPr>
                <w:rFonts w:hint="eastAsia" w:eastAsia="仿宋_GB2312"/>
                <w:szCs w:val="21"/>
              </w:rPr>
              <w:t>数量指标</w:t>
            </w:r>
          </w:p>
        </w:tc>
        <w:tc>
          <w:tcPr>
            <w:tcW w:w="4200" w:type="dxa"/>
            <w:noWrap/>
            <w:vAlign w:val="center"/>
          </w:tcPr>
          <w:p w14:paraId="5E934A3E">
            <w:pPr>
              <w:spacing w:line="400" w:lineRule="exact"/>
              <w:rPr>
                <w:rFonts w:eastAsia="仿宋_GB2312"/>
                <w:sz w:val="18"/>
                <w:szCs w:val="18"/>
              </w:rPr>
            </w:pPr>
            <w:r>
              <w:rPr>
                <w:rFonts w:hint="eastAsia" w:eastAsia="仿宋_GB2312"/>
                <w:sz w:val="18"/>
                <w:szCs w:val="18"/>
              </w:rPr>
              <w:t>单项1000亩及以上高标准农田建设规模完成</w:t>
            </w:r>
            <w:r>
              <w:rPr>
                <w:rFonts w:hint="eastAsia"/>
                <w:kern w:val="0"/>
                <w:sz w:val="18"/>
                <w:szCs w:val="18"/>
              </w:rPr>
              <w:t>数</w:t>
            </w:r>
          </w:p>
        </w:tc>
        <w:tc>
          <w:tcPr>
            <w:tcW w:w="1325" w:type="dxa"/>
            <w:noWrap/>
            <w:vAlign w:val="center"/>
          </w:tcPr>
          <w:p w14:paraId="0DD2E518">
            <w:pPr>
              <w:spacing w:line="400" w:lineRule="exact"/>
              <w:jc w:val="center"/>
              <w:rPr>
                <w:rFonts w:eastAsia="仿宋_GB2312"/>
                <w:szCs w:val="21"/>
              </w:rPr>
            </w:pPr>
            <w:r>
              <w:rPr>
                <w:rFonts w:hint="eastAsia" w:eastAsia="仿宋_GB2312"/>
                <w:szCs w:val="21"/>
              </w:rPr>
              <w:t>=1050亩</w:t>
            </w:r>
          </w:p>
        </w:tc>
      </w:tr>
      <w:tr w14:paraId="2B52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continue"/>
            <w:noWrap/>
            <w:vAlign w:val="center"/>
          </w:tcPr>
          <w:p w14:paraId="00E1F8E0">
            <w:pPr>
              <w:spacing w:line="400" w:lineRule="exact"/>
              <w:jc w:val="center"/>
              <w:rPr>
                <w:rFonts w:eastAsia="仿宋_GB2312"/>
                <w:szCs w:val="21"/>
              </w:rPr>
            </w:pPr>
          </w:p>
        </w:tc>
        <w:tc>
          <w:tcPr>
            <w:tcW w:w="1762" w:type="dxa"/>
            <w:vMerge w:val="restart"/>
            <w:noWrap/>
            <w:vAlign w:val="center"/>
          </w:tcPr>
          <w:p w14:paraId="158012B0">
            <w:pPr>
              <w:spacing w:line="400" w:lineRule="exact"/>
              <w:jc w:val="center"/>
              <w:rPr>
                <w:rFonts w:eastAsia="仿宋_GB2312"/>
                <w:szCs w:val="21"/>
              </w:rPr>
            </w:pPr>
            <w:r>
              <w:rPr>
                <w:rFonts w:hint="eastAsia" w:eastAsia="仿宋_GB2312"/>
                <w:szCs w:val="21"/>
              </w:rPr>
              <w:t>质量指标</w:t>
            </w:r>
          </w:p>
        </w:tc>
        <w:tc>
          <w:tcPr>
            <w:tcW w:w="4200" w:type="dxa"/>
            <w:noWrap/>
            <w:vAlign w:val="center"/>
          </w:tcPr>
          <w:p w14:paraId="6B0C409C">
            <w:pPr>
              <w:spacing w:line="400" w:lineRule="exact"/>
              <w:rPr>
                <w:rFonts w:eastAsia="仿宋_GB2312"/>
                <w:szCs w:val="21"/>
              </w:rPr>
            </w:pPr>
            <w:r>
              <w:rPr>
                <w:rFonts w:hint="eastAsia" w:eastAsia="仿宋_GB2312"/>
                <w:szCs w:val="21"/>
              </w:rPr>
              <w:t>区域内受防护农田面积比例</w:t>
            </w:r>
          </w:p>
        </w:tc>
        <w:tc>
          <w:tcPr>
            <w:tcW w:w="1325" w:type="dxa"/>
            <w:noWrap/>
            <w:vAlign w:val="center"/>
          </w:tcPr>
          <w:p w14:paraId="1A891E0E">
            <w:pPr>
              <w:spacing w:line="400" w:lineRule="exact"/>
              <w:rPr>
                <w:rFonts w:eastAsia="仿宋_GB2312"/>
                <w:szCs w:val="21"/>
              </w:rPr>
            </w:pPr>
            <w:r>
              <w:rPr>
                <w:rFonts w:hint="eastAsia" w:ascii="仿宋_GB2312" w:hAnsi="仿宋_GB2312" w:eastAsia="仿宋_GB2312" w:cs="仿宋_GB2312"/>
                <w:color w:val="000000"/>
                <w:kern w:val="0"/>
                <w:szCs w:val="21"/>
              </w:rPr>
              <w:t>≥</w:t>
            </w:r>
            <w:r>
              <w:rPr>
                <w:rFonts w:hint="eastAsia" w:eastAsia="仿宋_GB2312" w:cs="仿宋_GB2312"/>
                <w:color w:val="000000"/>
                <w:kern w:val="0"/>
                <w:szCs w:val="21"/>
              </w:rPr>
              <w:t>90</w:t>
            </w:r>
            <w:r>
              <w:rPr>
                <w:rFonts w:hint="eastAsia" w:ascii="仿宋_GB2312" w:hAnsi="仿宋_GB2312" w:eastAsia="仿宋_GB2312" w:cs="仿宋_GB2312"/>
                <w:color w:val="000000"/>
                <w:kern w:val="0"/>
                <w:szCs w:val="21"/>
              </w:rPr>
              <w:t>%</w:t>
            </w:r>
          </w:p>
        </w:tc>
      </w:tr>
      <w:tr w14:paraId="4618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continue"/>
            <w:noWrap/>
            <w:vAlign w:val="center"/>
          </w:tcPr>
          <w:p w14:paraId="5EB5B489">
            <w:pPr>
              <w:spacing w:line="400" w:lineRule="exact"/>
              <w:jc w:val="center"/>
              <w:rPr>
                <w:rFonts w:eastAsia="仿宋_GB2312"/>
                <w:szCs w:val="21"/>
              </w:rPr>
            </w:pPr>
          </w:p>
        </w:tc>
        <w:tc>
          <w:tcPr>
            <w:tcW w:w="1762" w:type="dxa"/>
            <w:vMerge w:val="continue"/>
            <w:noWrap/>
            <w:vAlign w:val="center"/>
          </w:tcPr>
          <w:p w14:paraId="2B5A15A9">
            <w:pPr>
              <w:spacing w:line="400" w:lineRule="exact"/>
              <w:jc w:val="center"/>
              <w:rPr>
                <w:rFonts w:eastAsia="仿宋_GB2312"/>
                <w:szCs w:val="21"/>
              </w:rPr>
            </w:pPr>
          </w:p>
        </w:tc>
        <w:tc>
          <w:tcPr>
            <w:tcW w:w="4200" w:type="dxa"/>
            <w:noWrap/>
            <w:vAlign w:val="center"/>
          </w:tcPr>
          <w:p w14:paraId="493B68FB">
            <w:pPr>
              <w:spacing w:line="400" w:lineRule="exact"/>
              <w:rPr>
                <w:rFonts w:eastAsia="仿宋_GB2312"/>
                <w:szCs w:val="21"/>
              </w:rPr>
            </w:pPr>
            <w:r>
              <w:rPr>
                <w:rFonts w:hint="eastAsia" w:eastAsia="仿宋_GB2312"/>
                <w:szCs w:val="21"/>
              </w:rPr>
              <w:t>...</w:t>
            </w:r>
          </w:p>
        </w:tc>
        <w:tc>
          <w:tcPr>
            <w:tcW w:w="1325" w:type="dxa"/>
            <w:noWrap/>
            <w:vAlign w:val="center"/>
          </w:tcPr>
          <w:p w14:paraId="1318871D">
            <w:pPr>
              <w:spacing w:line="400" w:lineRule="exact"/>
              <w:jc w:val="center"/>
              <w:rPr>
                <w:rFonts w:eastAsia="仿宋_GB2312"/>
                <w:szCs w:val="21"/>
              </w:rPr>
            </w:pPr>
            <w:r>
              <w:rPr>
                <w:rFonts w:hint="eastAsia" w:eastAsia="仿宋_GB2312"/>
                <w:szCs w:val="21"/>
              </w:rPr>
              <w:t>...</w:t>
            </w:r>
          </w:p>
        </w:tc>
      </w:tr>
      <w:tr w14:paraId="22C7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continue"/>
            <w:noWrap/>
            <w:vAlign w:val="center"/>
          </w:tcPr>
          <w:p w14:paraId="43FDDFE6">
            <w:pPr>
              <w:spacing w:line="400" w:lineRule="exact"/>
              <w:jc w:val="center"/>
              <w:rPr>
                <w:rFonts w:eastAsia="仿宋_GB2312"/>
                <w:szCs w:val="21"/>
              </w:rPr>
            </w:pPr>
          </w:p>
        </w:tc>
        <w:tc>
          <w:tcPr>
            <w:tcW w:w="1762" w:type="dxa"/>
            <w:noWrap/>
            <w:vAlign w:val="center"/>
          </w:tcPr>
          <w:p w14:paraId="1B0DD946">
            <w:pPr>
              <w:spacing w:line="400" w:lineRule="exact"/>
              <w:jc w:val="center"/>
              <w:rPr>
                <w:rFonts w:eastAsia="仿宋_GB2312"/>
                <w:szCs w:val="21"/>
              </w:rPr>
            </w:pPr>
            <w:r>
              <w:rPr>
                <w:rFonts w:hint="eastAsia" w:eastAsia="仿宋_GB2312"/>
                <w:szCs w:val="21"/>
              </w:rPr>
              <w:t>时效指标</w:t>
            </w:r>
          </w:p>
        </w:tc>
        <w:tc>
          <w:tcPr>
            <w:tcW w:w="4200" w:type="dxa"/>
            <w:noWrap/>
            <w:vAlign w:val="center"/>
          </w:tcPr>
          <w:p w14:paraId="7AC11065">
            <w:pPr>
              <w:spacing w:line="400" w:lineRule="exact"/>
              <w:rPr>
                <w:rFonts w:eastAsia="仿宋_GB2312"/>
                <w:szCs w:val="21"/>
              </w:rPr>
            </w:pPr>
            <w:r>
              <w:rPr>
                <w:rFonts w:hint="eastAsia" w:eastAsia="仿宋_GB2312"/>
                <w:szCs w:val="21"/>
              </w:rPr>
              <w:t>...</w:t>
            </w:r>
          </w:p>
        </w:tc>
        <w:tc>
          <w:tcPr>
            <w:tcW w:w="1325" w:type="dxa"/>
            <w:noWrap/>
            <w:vAlign w:val="center"/>
          </w:tcPr>
          <w:p w14:paraId="0CA1C47D">
            <w:pPr>
              <w:spacing w:line="400" w:lineRule="exact"/>
              <w:jc w:val="center"/>
              <w:rPr>
                <w:rFonts w:eastAsia="仿宋_GB2312"/>
                <w:szCs w:val="21"/>
              </w:rPr>
            </w:pPr>
            <w:r>
              <w:rPr>
                <w:rFonts w:hint="eastAsia" w:eastAsia="仿宋_GB2312"/>
                <w:szCs w:val="21"/>
              </w:rPr>
              <w:t>...</w:t>
            </w:r>
          </w:p>
        </w:tc>
      </w:tr>
      <w:tr w14:paraId="4F1C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restart"/>
            <w:noWrap/>
            <w:vAlign w:val="center"/>
          </w:tcPr>
          <w:p w14:paraId="3C705DA8">
            <w:pPr>
              <w:spacing w:line="400" w:lineRule="exact"/>
              <w:jc w:val="center"/>
              <w:rPr>
                <w:rFonts w:eastAsia="仿宋_GB2312"/>
                <w:szCs w:val="21"/>
              </w:rPr>
            </w:pPr>
            <w:r>
              <w:rPr>
                <w:rFonts w:hint="eastAsia" w:eastAsia="仿宋_GB2312"/>
                <w:szCs w:val="21"/>
              </w:rPr>
              <w:t>效益指标</w:t>
            </w:r>
          </w:p>
        </w:tc>
        <w:tc>
          <w:tcPr>
            <w:tcW w:w="1762" w:type="dxa"/>
            <w:noWrap/>
            <w:vAlign w:val="center"/>
          </w:tcPr>
          <w:p w14:paraId="5AC5E2B1">
            <w:pPr>
              <w:spacing w:line="400" w:lineRule="exact"/>
              <w:jc w:val="center"/>
              <w:rPr>
                <w:rFonts w:eastAsia="仿宋_GB2312"/>
                <w:szCs w:val="21"/>
              </w:rPr>
            </w:pPr>
            <w:r>
              <w:rPr>
                <w:rFonts w:hint="eastAsia" w:eastAsia="仿宋_GB2312"/>
                <w:szCs w:val="21"/>
              </w:rPr>
              <w:t>经济效益指标</w:t>
            </w:r>
          </w:p>
        </w:tc>
        <w:tc>
          <w:tcPr>
            <w:tcW w:w="4200" w:type="dxa"/>
            <w:noWrap/>
            <w:vAlign w:val="center"/>
          </w:tcPr>
          <w:p w14:paraId="65A8B698">
            <w:pPr>
              <w:spacing w:line="400" w:lineRule="exact"/>
              <w:rPr>
                <w:rFonts w:eastAsia="仿宋_GB2312"/>
                <w:szCs w:val="21"/>
              </w:rPr>
            </w:pPr>
            <w:r>
              <w:rPr>
                <w:rFonts w:hint="eastAsia" w:eastAsia="仿宋_GB2312"/>
                <w:szCs w:val="21"/>
              </w:rPr>
              <w:t>提高亩均产量</w:t>
            </w:r>
          </w:p>
        </w:tc>
        <w:tc>
          <w:tcPr>
            <w:tcW w:w="1325" w:type="dxa"/>
            <w:noWrap/>
            <w:vAlign w:val="center"/>
          </w:tcPr>
          <w:p w14:paraId="33F92030">
            <w:pPr>
              <w:spacing w:line="400" w:lineRule="exact"/>
              <w:rPr>
                <w:rFonts w:eastAsia="仿宋_GB2312"/>
                <w:szCs w:val="21"/>
              </w:rPr>
            </w:pPr>
            <w:r>
              <w:rPr>
                <w:rFonts w:hint="eastAsia" w:ascii="仿宋_GB2312" w:hAnsi="仿宋_GB2312" w:eastAsia="仿宋_GB2312" w:cs="仿宋_GB2312"/>
                <w:color w:val="000000"/>
                <w:kern w:val="0"/>
                <w:szCs w:val="21"/>
              </w:rPr>
              <w:t>≥*kg/</w:t>
            </w:r>
            <w:r>
              <w:rPr>
                <w:rFonts w:hint="eastAsia" w:eastAsia="仿宋_GB2312"/>
                <w:szCs w:val="21"/>
              </w:rPr>
              <w:t>亩</w:t>
            </w:r>
          </w:p>
        </w:tc>
      </w:tr>
      <w:tr w14:paraId="7319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continue"/>
            <w:noWrap/>
            <w:vAlign w:val="center"/>
          </w:tcPr>
          <w:p w14:paraId="3BE9F98F">
            <w:pPr>
              <w:spacing w:line="400" w:lineRule="exact"/>
              <w:jc w:val="center"/>
              <w:rPr>
                <w:rFonts w:eastAsia="仿宋_GB2312"/>
                <w:szCs w:val="21"/>
              </w:rPr>
            </w:pPr>
          </w:p>
        </w:tc>
        <w:tc>
          <w:tcPr>
            <w:tcW w:w="1762" w:type="dxa"/>
            <w:noWrap/>
            <w:vAlign w:val="center"/>
          </w:tcPr>
          <w:p w14:paraId="77DE4FA9">
            <w:pPr>
              <w:spacing w:line="400" w:lineRule="exact"/>
              <w:jc w:val="center"/>
              <w:rPr>
                <w:rFonts w:eastAsia="仿宋_GB2312"/>
                <w:szCs w:val="21"/>
              </w:rPr>
            </w:pPr>
            <w:r>
              <w:rPr>
                <w:rFonts w:hint="eastAsia" w:eastAsia="仿宋_GB2312"/>
                <w:szCs w:val="21"/>
              </w:rPr>
              <w:t>生态效益指标</w:t>
            </w:r>
          </w:p>
        </w:tc>
        <w:tc>
          <w:tcPr>
            <w:tcW w:w="4200" w:type="dxa"/>
            <w:noWrap/>
            <w:vAlign w:val="center"/>
          </w:tcPr>
          <w:p w14:paraId="097756AA">
            <w:pPr>
              <w:spacing w:line="400" w:lineRule="exact"/>
              <w:rPr>
                <w:rFonts w:eastAsia="仿宋_GB2312"/>
                <w:szCs w:val="21"/>
              </w:rPr>
            </w:pPr>
            <w:r>
              <w:rPr>
                <w:rFonts w:hint="eastAsia" w:eastAsia="仿宋_GB2312"/>
                <w:szCs w:val="21"/>
              </w:rPr>
              <w:t>减少化肥农药使用量</w:t>
            </w:r>
          </w:p>
        </w:tc>
        <w:tc>
          <w:tcPr>
            <w:tcW w:w="1325" w:type="dxa"/>
            <w:noWrap/>
            <w:vAlign w:val="center"/>
          </w:tcPr>
          <w:p w14:paraId="6650F0D6">
            <w:pPr>
              <w:spacing w:line="400" w:lineRule="exact"/>
              <w:rPr>
                <w:rFonts w:eastAsia="仿宋_GB2312"/>
                <w:szCs w:val="21"/>
              </w:rPr>
            </w:pPr>
            <w:r>
              <w:rPr>
                <w:rFonts w:hint="eastAsia" w:ascii="仿宋_GB2312" w:hAnsi="仿宋_GB2312" w:eastAsia="仿宋_GB2312" w:cs="仿宋_GB2312"/>
                <w:color w:val="000000"/>
                <w:kern w:val="0"/>
                <w:szCs w:val="21"/>
              </w:rPr>
              <w:t>≥*kg/</w:t>
            </w:r>
            <w:r>
              <w:rPr>
                <w:rFonts w:hint="eastAsia" w:eastAsia="仿宋_GB2312"/>
                <w:szCs w:val="21"/>
              </w:rPr>
              <w:t>亩</w:t>
            </w:r>
          </w:p>
        </w:tc>
      </w:tr>
      <w:tr w14:paraId="1E00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vMerge w:val="continue"/>
            <w:noWrap/>
            <w:vAlign w:val="center"/>
          </w:tcPr>
          <w:p w14:paraId="5522EA2D">
            <w:pPr>
              <w:spacing w:line="400" w:lineRule="exact"/>
              <w:jc w:val="center"/>
              <w:rPr>
                <w:rFonts w:eastAsia="仿宋_GB2312"/>
                <w:szCs w:val="21"/>
              </w:rPr>
            </w:pPr>
          </w:p>
        </w:tc>
        <w:tc>
          <w:tcPr>
            <w:tcW w:w="1762" w:type="dxa"/>
            <w:noWrap/>
            <w:vAlign w:val="center"/>
          </w:tcPr>
          <w:p w14:paraId="42769D39">
            <w:pPr>
              <w:spacing w:line="400" w:lineRule="exact"/>
              <w:jc w:val="center"/>
              <w:rPr>
                <w:rFonts w:eastAsia="仿宋_GB2312"/>
                <w:szCs w:val="21"/>
              </w:rPr>
            </w:pPr>
            <w:r>
              <w:rPr>
                <w:rFonts w:hint="eastAsia" w:eastAsia="仿宋_GB2312"/>
                <w:szCs w:val="21"/>
              </w:rPr>
              <w:t>...</w:t>
            </w:r>
          </w:p>
        </w:tc>
        <w:tc>
          <w:tcPr>
            <w:tcW w:w="4200" w:type="dxa"/>
            <w:noWrap/>
            <w:vAlign w:val="center"/>
          </w:tcPr>
          <w:p w14:paraId="49CA4C7F">
            <w:pPr>
              <w:spacing w:line="400" w:lineRule="exact"/>
              <w:rPr>
                <w:rFonts w:eastAsia="仿宋_GB2312"/>
                <w:szCs w:val="21"/>
              </w:rPr>
            </w:pPr>
            <w:r>
              <w:rPr>
                <w:rFonts w:hint="eastAsia" w:eastAsia="仿宋_GB2312"/>
                <w:szCs w:val="21"/>
              </w:rPr>
              <w:t>...</w:t>
            </w:r>
          </w:p>
        </w:tc>
        <w:tc>
          <w:tcPr>
            <w:tcW w:w="1325" w:type="dxa"/>
            <w:noWrap/>
            <w:vAlign w:val="center"/>
          </w:tcPr>
          <w:p w14:paraId="60EA513F">
            <w:pPr>
              <w:spacing w:line="400" w:lineRule="exact"/>
              <w:jc w:val="center"/>
              <w:rPr>
                <w:rFonts w:eastAsia="仿宋_GB2312"/>
                <w:szCs w:val="21"/>
              </w:rPr>
            </w:pPr>
            <w:r>
              <w:rPr>
                <w:rFonts w:hint="eastAsia" w:eastAsia="仿宋_GB2312"/>
                <w:szCs w:val="21"/>
              </w:rPr>
              <w:t>...</w:t>
            </w:r>
          </w:p>
        </w:tc>
      </w:tr>
      <w:tr w14:paraId="2FEF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2" w:type="dxa"/>
            <w:noWrap/>
            <w:vAlign w:val="center"/>
          </w:tcPr>
          <w:p w14:paraId="21C76B93">
            <w:pPr>
              <w:spacing w:line="400" w:lineRule="exact"/>
              <w:jc w:val="center"/>
              <w:rPr>
                <w:rFonts w:eastAsia="仿宋_GB2312"/>
                <w:szCs w:val="21"/>
              </w:rPr>
            </w:pPr>
            <w:r>
              <w:rPr>
                <w:rFonts w:hint="eastAsia" w:eastAsia="仿宋_GB2312"/>
                <w:szCs w:val="21"/>
              </w:rPr>
              <w:t>满意度指标</w:t>
            </w:r>
          </w:p>
        </w:tc>
        <w:tc>
          <w:tcPr>
            <w:tcW w:w="1762" w:type="dxa"/>
            <w:noWrap/>
            <w:vAlign w:val="center"/>
          </w:tcPr>
          <w:p w14:paraId="491104AD">
            <w:pPr>
              <w:spacing w:line="400" w:lineRule="exact"/>
              <w:jc w:val="center"/>
              <w:rPr>
                <w:rFonts w:eastAsia="仿宋_GB2312"/>
                <w:szCs w:val="21"/>
              </w:rPr>
            </w:pPr>
            <w:r>
              <w:rPr>
                <w:rFonts w:hint="eastAsia" w:eastAsia="仿宋_GB2312"/>
                <w:szCs w:val="21"/>
              </w:rPr>
              <w:t>服务对象满意度</w:t>
            </w:r>
          </w:p>
        </w:tc>
        <w:tc>
          <w:tcPr>
            <w:tcW w:w="4200" w:type="dxa"/>
            <w:noWrap/>
            <w:vAlign w:val="center"/>
          </w:tcPr>
          <w:p w14:paraId="6BC38D8A">
            <w:pPr>
              <w:spacing w:line="400" w:lineRule="exact"/>
              <w:rPr>
                <w:rFonts w:eastAsia="仿宋_GB2312"/>
                <w:szCs w:val="21"/>
              </w:rPr>
            </w:pPr>
            <w:r>
              <w:rPr>
                <w:rFonts w:hint="eastAsia" w:eastAsia="仿宋_GB2312"/>
                <w:szCs w:val="21"/>
              </w:rPr>
              <w:t>...</w:t>
            </w:r>
          </w:p>
        </w:tc>
        <w:tc>
          <w:tcPr>
            <w:tcW w:w="1325" w:type="dxa"/>
            <w:noWrap/>
            <w:vAlign w:val="center"/>
          </w:tcPr>
          <w:p w14:paraId="230496E9">
            <w:pPr>
              <w:spacing w:line="400" w:lineRule="exact"/>
              <w:jc w:val="center"/>
              <w:rPr>
                <w:rFonts w:eastAsia="仿宋_GB2312"/>
                <w:szCs w:val="21"/>
              </w:rPr>
            </w:pPr>
            <w:r>
              <w:rPr>
                <w:rFonts w:hint="eastAsia" w:eastAsia="仿宋_GB2312"/>
                <w:szCs w:val="21"/>
              </w:rPr>
              <w:t>...</w:t>
            </w:r>
          </w:p>
        </w:tc>
      </w:tr>
    </w:tbl>
    <w:p w14:paraId="3E989DC7">
      <w:pPr>
        <w:spacing w:line="600" w:lineRule="exact"/>
        <w:ind w:firstLine="640" w:firstLineChars="200"/>
        <w:rPr>
          <w:rFonts w:eastAsia="仿宋_GB2312"/>
          <w:sz w:val="32"/>
          <w:szCs w:val="32"/>
        </w:rPr>
      </w:pPr>
      <w:r>
        <w:rPr>
          <w:rFonts w:hint="eastAsia" w:eastAsia="仿宋_GB2312"/>
          <w:sz w:val="32"/>
          <w:szCs w:val="32"/>
        </w:rPr>
        <w:t>项目总成本</w:t>
      </w:r>
      <w:r>
        <w:rPr>
          <w:rFonts w:hint="eastAsia" w:ascii="仿宋_GB2312" w:hAnsi="仿宋_GB2312" w:cs="仿宋_GB2312"/>
          <w:bCs/>
          <w:szCs w:val="32"/>
        </w:rPr>
        <w:t>≤</w:t>
      </w:r>
      <w:r>
        <w:rPr>
          <w:rFonts w:hint="eastAsia" w:eastAsia="仿宋_GB2312"/>
          <w:sz w:val="32"/>
          <w:szCs w:val="32"/>
        </w:rPr>
        <w:t>亩均投资规模×完成数</w:t>
      </w:r>
      <w:r>
        <w:rPr>
          <w:rFonts w:hint="eastAsia" w:ascii="仿宋_GB2312" w:hAnsi="仿宋_GB2312" w:cs="仿宋_GB2312"/>
          <w:bCs/>
          <w:szCs w:val="32"/>
        </w:rPr>
        <w:t>=</w:t>
      </w:r>
      <w:r>
        <w:rPr>
          <w:rFonts w:eastAsia="仿宋_GB2312"/>
          <w:sz w:val="32"/>
          <w:szCs w:val="32"/>
        </w:rPr>
        <w:t xml:space="preserve"> Z</w:t>
      </w:r>
      <w:r>
        <w:rPr>
          <w:rFonts w:hint="eastAsia" w:eastAsia="仿宋_GB2312"/>
          <w:sz w:val="32"/>
          <w:szCs w:val="32"/>
        </w:rPr>
        <w:t>元×1050亩。</w:t>
      </w:r>
    </w:p>
    <w:p w14:paraId="7731180B">
      <w:pPr>
        <w:spacing w:line="600" w:lineRule="exact"/>
        <w:ind w:firstLine="643" w:firstLineChars="200"/>
        <w:rPr>
          <w:rFonts w:eastAsia="仿宋_GB2312"/>
          <w:sz w:val="32"/>
          <w:szCs w:val="32"/>
        </w:rPr>
      </w:pPr>
      <w:r>
        <w:rPr>
          <w:rFonts w:hint="eastAsia" w:eastAsia="仿宋_GB2312"/>
          <w:b/>
          <w:bCs/>
          <w:sz w:val="32"/>
          <w:szCs w:val="32"/>
        </w:rPr>
        <w:t>（3）对于尚未明确成本定额、支出标准，也未开展成本绩效分析的。</w:t>
      </w:r>
      <w:r>
        <w:rPr>
          <w:rFonts w:hint="eastAsia" w:eastAsia="仿宋_GB2312"/>
          <w:sz w:val="32"/>
          <w:szCs w:val="32"/>
        </w:rPr>
        <w:t>各部门、单位应当以效益目标为导向，首先通过科学合理的事前绩效评估，确定效益指标；然后，明确与效益目标相契合的产出指标，进而构建与之对应的成本指标，即遵循“预期效益-预期产出-预期成本”的路径来设置成本指标，最后，在此基础上，进行科学测算，据实填写单位成本。</w:t>
      </w:r>
    </w:p>
    <w:p w14:paraId="437ABDC7">
      <w:pPr>
        <w:spacing w:line="600" w:lineRule="exact"/>
        <w:ind w:firstLine="640" w:firstLineChars="200"/>
        <w:rPr>
          <w:rFonts w:eastAsia="仿宋_GB2312"/>
          <w:sz w:val="32"/>
          <w:szCs w:val="32"/>
        </w:rPr>
      </w:pPr>
      <w:bookmarkStart w:id="2" w:name="_Hlk175077118"/>
      <w:r>
        <w:rPr>
          <w:rFonts w:hint="eastAsia" w:eastAsia="仿宋_GB2312"/>
          <w:sz w:val="32"/>
          <w:szCs w:val="32"/>
        </w:rPr>
        <w:t>【案例</w:t>
      </w:r>
      <w:r>
        <w:rPr>
          <w:rFonts w:eastAsia="仿宋_GB2312"/>
          <w:sz w:val="32"/>
          <w:szCs w:val="32"/>
        </w:rPr>
        <w:t>3</w:t>
      </w:r>
      <w:r>
        <w:rPr>
          <w:rFonts w:hint="eastAsia" w:eastAsia="仿宋_GB2312"/>
          <w:sz w:val="32"/>
          <w:szCs w:val="32"/>
        </w:rPr>
        <w:t>】</w:t>
      </w:r>
      <w:r>
        <w:rPr>
          <w:rFonts w:eastAsia="仿宋_GB2312"/>
          <w:sz w:val="32"/>
          <w:szCs w:val="32"/>
        </w:rPr>
        <w:t>以</w:t>
      </w:r>
      <w:r>
        <w:rPr>
          <w:rFonts w:hint="eastAsia" w:ascii="仿宋_GB2312" w:hAnsi="仿宋_GB2312" w:eastAsia="仿宋_GB2312" w:cs="仿宋_GB2312"/>
          <w:sz w:val="32"/>
          <w:szCs w:val="32"/>
        </w:rPr>
        <w:t>“电动汽车充电桩计量强制检定”</w:t>
      </w:r>
      <w:r>
        <w:rPr>
          <w:rFonts w:eastAsia="仿宋_GB2312"/>
          <w:sz w:val="32"/>
          <w:szCs w:val="32"/>
        </w:rPr>
        <w:t>项目为例：</w:t>
      </w:r>
    </w:p>
    <w:p w14:paraId="596F1505">
      <w:pPr>
        <w:spacing w:line="600" w:lineRule="exact"/>
        <w:ind w:firstLine="640" w:firstLineChars="200"/>
        <w:rPr>
          <w:rFonts w:eastAsia="仿宋_GB2312"/>
          <w:sz w:val="32"/>
          <w:szCs w:val="32"/>
        </w:rPr>
      </w:pPr>
      <w:r>
        <w:rPr>
          <w:rFonts w:hint="eastAsia" w:eastAsia="仿宋_GB2312"/>
          <w:sz w:val="32"/>
          <w:szCs w:val="32"/>
        </w:rPr>
        <w:t>某市属部门按照行业要求，需</w:t>
      </w:r>
      <w:bookmarkEnd w:id="2"/>
      <w:r>
        <w:rPr>
          <w:rFonts w:hint="eastAsia" w:eastAsia="仿宋_GB2312"/>
          <w:sz w:val="32"/>
          <w:szCs w:val="32"/>
        </w:rPr>
        <w:t>对全市约35000台电动汽车充电桩进行检定，其中，搜寻充电站点、开展现场检定是主要费用支出环节，涉及人工费用、设备折旧费用和交通费用。</w:t>
      </w:r>
    </w:p>
    <w:p w14:paraId="56358582">
      <w:pPr>
        <w:spacing w:line="600" w:lineRule="exact"/>
        <w:ind w:firstLine="640" w:firstLineChars="200"/>
        <w:rPr>
          <w:rFonts w:ascii="仿宋_GB2312" w:hAnsi="仿宋_GB2312" w:eastAsia="仿宋_GB2312" w:cs="仿宋_GB2312"/>
          <w:sz w:val="32"/>
          <w:szCs w:val="32"/>
        </w:rPr>
      </w:pPr>
      <w:r>
        <w:rPr>
          <w:rFonts w:hint="eastAsia" w:eastAsia="仿宋_GB2312"/>
          <w:sz w:val="32"/>
          <w:szCs w:val="32"/>
        </w:rPr>
        <w:t>第一步：明确效益指标。通过科学合理的事前绩效评估，确定效益指标。</w:t>
      </w:r>
      <w:r>
        <w:rPr>
          <w:rFonts w:eastAsia="仿宋_GB2312"/>
          <w:sz w:val="32"/>
          <w:szCs w:val="32"/>
        </w:rPr>
        <w:t>按照上</w:t>
      </w:r>
      <w:r>
        <w:rPr>
          <w:rFonts w:hint="eastAsia" w:ascii="仿宋_GB2312" w:hAnsi="仿宋_GB2312" w:eastAsia="仿宋_GB2312" w:cs="仿宋_GB2312"/>
          <w:sz w:val="32"/>
          <w:szCs w:val="32"/>
        </w:rPr>
        <w:t>级部门的工作要求和部门的检定规模估算结果，明确核心效益指标为“充电桩再检合格率”“社会公众满意度”等。</w:t>
      </w:r>
    </w:p>
    <w:p w14:paraId="05F4FDD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第二步：明确产出指标。明确与效益指标相匹配的核心产出数量指标“年度充电桩检定完成数”。</w:t>
      </w:r>
    </w:p>
    <w:p w14:paraId="78EC2DD5">
      <w:pPr>
        <w:spacing w:line="600" w:lineRule="exact"/>
        <w:ind w:firstLine="640" w:firstLineChars="200"/>
        <w:rPr>
          <w:rFonts w:eastAsia="仿宋_GB2312"/>
          <w:sz w:val="32"/>
          <w:szCs w:val="32"/>
        </w:rPr>
      </w:pPr>
      <w:r>
        <w:rPr>
          <w:rFonts w:hint="eastAsia" w:ascii="仿宋_GB2312" w:hAnsi="仿宋_GB2312" w:eastAsia="仿宋_GB2312" w:cs="仿宋_GB2312"/>
          <w:sz w:val="32"/>
          <w:szCs w:val="32"/>
        </w:rPr>
        <w:t>第三步：测算成本指标。结合“年度充电桩检定完成数”，测算每台充电桩检定的单位成本指标</w:t>
      </w:r>
      <w:r>
        <w:rPr>
          <w:rFonts w:eastAsia="仿宋_GB2312"/>
          <w:sz w:val="32"/>
          <w:szCs w:val="32"/>
        </w:rPr>
        <w:t>。</w:t>
      </w:r>
    </w:p>
    <w:p w14:paraId="7309944B">
      <w:pPr>
        <w:spacing w:line="600" w:lineRule="exact"/>
        <w:ind w:firstLine="640" w:firstLineChars="200"/>
        <w:rPr>
          <w:rFonts w:eastAsia="仿宋_GB2312"/>
          <w:sz w:val="32"/>
          <w:szCs w:val="32"/>
        </w:rPr>
      </w:pPr>
      <w:r>
        <w:rPr>
          <w:rFonts w:hint="eastAsia" w:eastAsia="仿宋_GB2312"/>
          <w:sz w:val="32"/>
          <w:szCs w:val="32"/>
        </w:rPr>
        <w:t>按照上述对应关系，设置单位成本指标及标杆值如下（部分指标）：</w:t>
      </w:r>
    </w:p>
    <w:tbl>
      <w:tblPr>
        <w:tblStyle w:val="14"/>
        <w:tblW w:w="51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1890"/>
        <w:gridCol w:w="3646"/>
        <w:gridCol w:w="1891"/>
      </w:tblGrid>
      <w:tr w14:paraId="64C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47" w:type="pct"/>
            <w:noWrap/>
            <w:vAlign w:val="center"/>
          </w:tcPr>
          <w:p w14:paraId="39453090">
            <w:pPr>
              <w:widowControl/>
              <w:snapToGrid w:val="0"/>
              <w:jc w:val="center"/>
              <w:rPr>
                <w:rFonts w:eastAsia="仿宋_GB2312"/>
                <w:b/>
                <w:color w:val="000000"/>
                <w:kern w:val="0"/>
                <w:szCs w:val="21"/>
              </w:rPr>
            </w:pPr>
            <w:r>
              <w:rPr>
                <w:rFonts w:hint="eastAsia" w:eastAsia="仿宋_GB2312"/>
                <w:b/>
                <w:color w:val="000000"/>
                <w:kern w:val="0"/>
                <w:szCs w:val="21"/>
              </w:rPr>
              <w:t>一级指标</w:t>
            </w:r>
          </w:p>
        </w:tc>
        <w:tc>
          <w:tcPr>
            <w:tcW w:w="1082" w:type="pct"/>
            <w:noWrap/>
            <w:vAlign w:val="center"/>
          </w:tcPr>
          <w:p w14:paraId="701B8705">
            <w:pPr>
              <w:widowControl/>
              <w:snapToGrid w:val="0"/>
              <w:jc w:val="center"/>
              <w:rPr>
                <w:rFonts w:eastAsia="仿宋_GB2312"/>
                <w:b/>
                <w:color w:val="000000"/>
                <w:kern w:val="0"/>
                <w:szCs w:val="21"/>
              </w:rPr>
            </w:pPr>
            <w:r>
              <w:rPr>
                <w:rFonts w:hint="eastAsia" w:eastAsia="仿宋_GB2312"/>
                <w:b/>
                <w:color w:val="000000"/>
                <w:kern w:val="0"/>
                <w:szCs w:val="21"/>
              </w:rPr>
              <w:t>二级指标</w:t>
            </w:r>
          </w:p>
        </w:tc>
        <w:tc>
          <w:tcPr>
            <w:tcW w:w="2087" w:type="pct"/>
            <w:noWrap/>
            <w:vAlign w:val="center"/>
          </w:tcPr>
          <w:p w14:paraId="31014FA5">
            <w:pPr>
              <w:widowControl/>
              <w:snapToGrid w:val="0"/>
              <w:jc w:val="center"/>
              <w:rPr>
                <w:rFonts w:eastAsia="仿宋_GB2312"/>
                <w:b/>
                <w:color w:val="000000"/>
                <w:kern w:val="0"/>
                <w:szCs w:val="21"/>
              </w:rPr>
            </w:pPr>
            <w:r>
              <w:rPr>
                <w:rFonts w:hint="eastAsia" w:eastAsia="仿宋_GB2312"/>
                <w:b/>
                <w:color w:val="000000"/>
                <w:kern w:val="0"/>
                <w:szCs w:val="21"/>
              </w:rPr>
              <w:t>三级指标</w:t>
            </w:r>
          </w:p>
        </w:tc>
        <w:tc>
          <w:tcPr>
            <w:tcW w:w="1082" w:type="pct"/>
            <w:noWrap/>
            <w:vAlign w:val="center"/>
          </w:tcPr>
          <w:p w14:paraId="7B9C02AE">
            <w:pPr>
              <w:widowControl/>
              <w:snapToGrid w:val="0"/>
              <w:jc w:val="center"/>
              <w:rPr>
                <w:rFonts w:eastAsia="仿宋_GB2312"/>
                <w:b/>
                <w:color w:val="000000"/>
                <w:kern w:val="0"/>
                <w:szCs w:val="21"/>
              </w:rPr>
            </w:pPr>
            <w:r>
              <w:rPr>
                <w:rFonts w:hint="eastAsia" w:eastAsia="仿宋_GB2312"/>
                <w:b/>
                <w:color w:val="000000"/>
                <w:kern w:val="0"/>
                <w:szCs w:val="21"/>
              </w:rPr>
              <w:t>绩效指标值</w:t>
            </w:r>
          </w:p>
        </w:tc>
      </w:tr>
      <w:tr w14:paraId="235C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47" w:type="pct"/>
            <w:noWrap/>
            <w:vAlign w:val="center"/>
          </w:tcPr>
          <w:p w14:paraId="382B4A25">
            <w:pPr>
              <w:snapToGrid w:val="0"/>
              <w:jc w:val="center"/>
              <w:rPr>
                <w:rFonts w:eastAsia="仿宋_GB2312"/>
                <w:color w:val="000000"/>
                <w:kern w:val="0"/>
                <w:szCs w:val="21"/>
              </w:rPr>
            </w:pPr>
            <w:r>
              <w:rPr>
                <w:rFonts w:hint="eastAsia" w:eastAsia="仿宋_GB2312"/>
                <w:color w:val="000000"/>
                <w:kern w:val="0"/>
                <w:szCs w:val="21"/>
              </w:rPr>
              <w:t>成本指标</w:t>
            </w:r>
          </w:p>
        </w:tc>
        <w:tc>
          <w:tcPr>
            <w:tcW w:w="1082" w:type="pct"/>
            <w:noWrap/>
            <w:vAlign w:val="center"/>
          </w:tcPr>
          <w:p w14:paraId="1E2D5431">
            <w:pPr>
              <w:snapToGrid w:val="0"/>
              <w:jc w:val="center"/>
              <w:rPr>
                <w:rFonts w:eastAsia="仿宋_GB2312"/>
                <w:color w:val="000000"/>
                <w:kern w:val="0"/>
                <w:szCs w:val="21"/>
              </w:rPr>
            </w:pPr>
            <w:r>
              <w:rPr>
                <w:rFonts w:hint="eastAsia" w:eastAsia="仿宋_GB2312"/>
                <w:color w:val="000000"/>
                <w:kern w:val="0"/>
                <w:szCs w:val="21"/>
              </w:rPr>
              <w:t>经济成本指标</w:t>
            </w:r>
          </w:p>
        </w:tc>
        <w:tc>
          <w:tcPr>
            <w:tcW w:w="2087" w:type="pct"/>
            <w:noWrap/>
            <w:vAlign w:val="center"/>
          </w:tcPr>
          <w:p w14:paraId="418892B2">
            <w:pPr>
              <w:widowControl/>
              <w:snapToGrid w:val="0"/>
              <w:jc w:val="left"/>
              <w:rPr>
                <w:rFonts w:eastAsia="仿宋_GB2312"/>
                <w:kern w:val="0"/>
                <w:szCs w:val="21"/>
              </w:rPr>
            </w:pPr>
            <w:r>
              <w:rPr>
                <w:rFonts w:hint="eastAsia" w:eastAsia="仿宋_GB2312"/>
                <w:kern w:val="0"/>
                <w:szCs w:val="21"/>
              </w:rPr>
              <w:t>平均每台检定成本</w:t>
            </w:r>
          </w:p>
        </w:tc>
        <w:tc>
          <w:tcPr>
            <w:tcW w:w="1082" w:type="pct"/>
            <w:noWrap/>
            <w:vAlign w:val="center"/>
          </w:tcPr>
          <w:p w14:paraId="5F97A732">
            <w:pPr>
              <w:widowControl/>
              <w:snapToGrid w:val="0"/>
              <w:jc w:val="center"/>
              <w:rPr>
                <w:rFonts w:eastAsia="仿宋_GB2312"/>
                <w:kern w:val="0"/>
                <w:szCs w:val="21"/>
              </w:rPr>
            </w:pPr>
            <w:r>
              <w:rPr>
                <w:rFonts w:hint="eastAsia" w:eastAsia="仿宋_GB2312"/>
                <w:kern w:val="0"/>
                <w:szCs w:val="21"/>
              </w:rPr>
              <w:t>≤550</w:t>
            </w:r>
            <w:bookmarkStart w:id="3" w:name="_Hlk173227147"/>
            <w:r>
              <w:rPr>
                <w:rFonts w:hint="eastAsia" w:eastAsia="仿宋_GB2312"/>
                <w:kern w:val="0"/>
                <w:szCs w:val="21"/>
              </w:rPr>
              <w:t>元/台</w:t>
            </w:r>
            <w:bookmarkEnd w:id="3"/>
          </w:p>
        </w:tc>
      </w:tr>
      <w:tr w14:paraId="5B8E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7" w:type="pct"/>
            <w:vMerge w:val="restart"/>
            <w:noWrap/>
            <w:vAlign w:val="center"/>
          </w:tcPr>
          <w:p w14:paraId="1116A684">
            <w:pPr>
              <w:widowControl/>
              <w:snapToGrid w:val="0"/>
              <w:jc w:val="center"/>
              <w:rPr>
                <w:rFonts w:eastAsia="仿宋_GB2312"/>
                <w:color w:val="000000"/>
                <w:kern w:val="0"/>
                <w:szCs w:val="21"/>
              </w:rPr>
            </w:pPr>
            <w:r>
              <w:rPr>
                <w:rFonts w:hint="eastAsia" w:eastAsia="仿宋_GB2312"/>
                <w:color w:val="000000"/>
                <w:kern w:val="0"/>
                <w:szCs w:val="21"/>
              </w:rPr>
              <w:t>产出指标</w:t>
            </w:r>
          </w:p>
        </w:tc>
        <w:tc>
          <w:tcPr>
            <w:tcW w:w="1082" w:type="pct"/>
            <w:noWrap/>
            <w:vAlign w:val="center"/>
          </w:tcPr>
          <w:p w14:paraId="5E9B6E9C">
            <w:pPr>
              <w:widowControl/>
              <w:snapToGrid w:val="0"/>
              <w:jc w:val="center"/>
              <w:rPr>
                <w:rFonts w:eastAsia="仿宋_GB2312"/>
                <w:color w:val="000000"/>
                <w:kern w:val="0"/>
                <w:szCs w:val="21"/>
              </w:rPr>
            </w:pPr>
            <w:r>
              <w:rPr>
                <w:rFonts w:hint="eastAsia" w:eastAsia="仿宋_GB2312"/>
                <w:color w:val="000000"/>
                <w:kern w:val="0"/>
                <w:szCs w:val="21"/>
              </w:rPr>
              <w:t>数量指标</w:t>
            </w:r>
          </w:p>
        </w:tc>
        <w:tc>
          <w:tcPr>
            <w:tcW w:w="2087" w:type="pct"/>
            <w:noWrap/>
            <w:vAlign w:val="center"/>
          </w:tcPr>
          <w:p w14:paraId="186E4754">
            <w:pPr>
              <w:widowControl/>
              <w:snapToGrid w:val="0"/>
              <w:jc w:val="left"/>
              <w:rPr>
                <w:rFonts w:eastAsia="仿宋_GB2312"/>
                <w:color w:val="000000"/>
                <w:kern w:val="0"/>
                <w:szCs w:val="21"/>
              </w:rPr>
            </w:pPr>
            <w:r>
              <w:rPr>
                <w:rFonts w:hint="eastAsia" w:eastAsia="仿宋_GB2312"/>
                <w:color w:val="000000"/>
                <w:kern w:val="0"/>
                <w:szCs w:val="21"/>
              </w:rPr>
              <w:t>年度充电桩检定完成数</w:t>
            </w:r>
          </w:p>
        </w:tc>
        <w:tc>
          <w:tcPr>
            <w:tcW w:w="1082" w:type="pct"/>
            <w:noWrap/>
            <w:vAlign w:val="center"/>
          </w:tcPr>
          <w:p w14:paraId="67C873E4">
            <w:pPr>
              <w:widowControl/>
              <w:snapToGrid w:val="0"/>
              <w:jc w:val="center"/>
              <w:rPr>
                <w:rFonts w:eastAsia="仿宋_GB2312"/>
                <w:kern w:val="0"/>
                <w:szCs w:val="21"/>
              </w:rPr>
            </w:pPr>
            <w:r>
              <w:rPr>
                <w:rFonts w:hint="eastAsia" w:eastAsia="仿宋_GB2312"/>
                <w:kern w:val="0"/>
                <w:szCs w:val="21"/>
              </w:rPr>
              <w:t>=</w:t>
            </w:r>
            <w:bookmarkStart w:id="4" w:name="_Hlk173227157"/>
            <w:r>
              <w:rPr>
                <w:rFonts w:hint="eastAsia" w:eastAsia="仿宋_GB2312"/>
                <w:kern w:val="0"/>
                <w:szCs w:val="21"/>
              </w:rPr>
              <w:t>35000台</w:t>
            </w:r>
            <w:bookmarkEnd w:id="4"/>
          </w:p>
        </w:tc>
      </w:tr>
      <w:tr w14:paraId="3779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7" w:type="pct"/>
            <w:vMerge w:val="continue"/>
            <w:noWrap/>
            <w:vAlign w:val="center"/>
          </w:tcPr>
          <w:p w14:paraId="3D92B209">
            <w:pPr>
              <w:widowControl/>
              <w:snapToGrid w:val="0"/>
              <w:jc w:val="center"/>
              <w:rPr>
                <w:rFonts w:eastAsia="仿宋_GB2312"/>
                <w:color w:val="000000"/>
                <w:kern w:val="0"/>
                <w:szCs w:val="21"/>
              </w:rPr>
            </w:pPr>
          </w:p>
        </w:tc>
        <w:tc>
          <w:tcPr>
            <w:tcW w:w="1082" w:type="pct"/>
            <w:noWrap/>
            <w:vAlign w:val="center"/>
          </w:tcPr>
          <w:p w14:paraId="031BE0F9">
            <w:pPr>
              <w:widowControl/>
              <w:snapToGrid w:val="0"/>
              <w:jc w:val="center"/>
              <w:rPr>
                <w:rFonts w:eastAsia="仿宋_GB2312"/>
                <w:color w:val="000000"/>
                <w:kern w:val="0"/>
                <w:szCs w:val="21"/>
              </w:rPr>
            </w:pPr>
            <w:r>
              <w:rPr>
                <w:rFonts w:hint="eastAsia" w:eastAsia="仿宋_GB2312"/>
                <w:color w:val="000000"/>
                <w:kern w:val="0"/>
                <w:szCs w:val="21"/>
              </w:rPr>
              <w:t>质量指标</w:t>
            </w:r>
          </w:p>
        </w:tc>
        <w:tc>
          <w:tcPr>
            <w:tcW w:w="2087" w:type="pct"/>
            <w:noWrap/>
            <w:vAlign w:val="center"/>
          </w:tcPr>
          <w:p w14:paraId="16C9B23E">
            <w:pPr>
              <w:widowControl/>
              <w:snapToGrid w:val="0"/>
              <w:jc w:val="left"/>
              <w:rPr>
                <w:rFonts w:eastAsia="仿宋_GB2312"/>
                <w:kern w:val="0"/>
                <w:szCs w:val="21"/>
              </w:rPr>
            </w:pPr>
            <w:r>
              <w:rPr>
                <w:rFonts w:hint="eastAsia" w:eastAsia="仿宋_GB2312"/>
                <w:szCs w:val="21"/>
              </w:rPr>
              <w:t>...</w:t>
            </w:r>
          </w:p>
        </w:tc>
        <w:tc>
          <w:tcPr>
            <w:tcW w:w="1082" w:type="pct"/>
            <w:noWrap/>
            <w:vAlign w:val="center"/>
          </w:tcPr>
          <w:p w14:paraId="2CC077E9">
            <w:pPr>
              <w:widowControl/>
              <w:snapToGrid w:val="0"/>
              <w:jc w:val="center"/>
              <w:rPr>
                <w:rFonts w:eastAsia="仿宋_GB2312"/>
                <w:kern w:val="0"/>
                <w:szCs w:val="21"/>
              </w:rPr>
            </w:pPr>
            <w:r>
              <w:rPr>
                <w:rFonts w:hint="eastAsia" w:eastAsia="仿宋_GB2312"/>
                <w:szCs w:val="21"/>
              </w:rPr>
              <w:t>...</w:t>
            </w:r>
          </w:p>
        </w:tc>
      </w:tr>
      <w:tr w14:paraId="17FC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7" w:type="pct"/>
            <w:vMerge w:val="continue"/>
            <w:noWrap/>
            <w:vAlign w:val="center"/>
          </w:tcPr>
          <w:p w14:paraId="279CE071">
            <w:pPr>
              <w:widowControl/>
              <w:snapToGrid w:val="0"/>
              <w:jc w:val="center"/>
              <w:rPr>
                <w:rFonts w:eastAsia="仿宋_GB2312"/>
                <w:color w:val="000000"/>
                <w:kern w:val="0"/>
                <w:szCs w:val="21"/>
              </w:rPr>
            </w:pPr>
          </w:p>
        </w:tc>
        <w:tc>
          <w:tcPr>
            <w:tcW w:w="1082" w:type="pct"/>
            <w:noWrap/>
            <w:vAlign w:val="center"/>
          </w:tcPr>
          <w:p w14:paraId="5897F8EE">
            <w:pPr>
              <w:widowControl/>
              <w:snapToGrid w:val="0"/>
              <w:jc w:val="center"/>
              <w:rPr>
                <w:rFonts w:eastAsia="仿宋_GB2312"/>
                <w:color w:val="000000"/>
                <w:kern w:val="0"/>
                <w:szCs w:val="21"/>
              </w:rPr>
            </w:pPr>
            <w:r>
              <w:rPr>
                <w:rFonts w:hint="eastAsia" w:eastAsia="仿宋_GB2312"/>
                <w:color w:val="000000"/>
                <w:kern w:val="0"/>
                <w:szCs w:val="21"/>
              </w:rPr>
              <w:t>时效指标</w:t>
            </w:r>
          </w:p>
        </w:tc>
        <w:tc>
          <w:tcPr>
            <w:tcW w:w="2087" w:type="pct"/>
            <w:noWrap/>
            <w:vAlign w:val="center"/>
          </w:tcPr>
          <w:p w14:paraId="311A93F3">
            <w:pPr>
              <w:widowControl/>
              <w:snapToGrid w:val="0"/>
              <w:jc w:val="left"/>
              <w:rPr>
                <w:rFonts w:eastAsia="仿宋_GB2312"/>
                <w:kern w:val="0"/>
                <w:szCs w:val="21"/>
              </w:rPr>
            </w:pPr>
            <w:r>
              <w:rPr>
                <w:rFonts w:hint="eastAsia" w:eastAsia="仿宋_GB2312"/>
                <w:szCs w:val="21"/>
              </w:rPr>
              <w:t>...</w:t>
            </w:r>
          </w:p>
        </w:tc>
        <w:tc>
          <w:tcPr>
            <w:tcW w:w="1082" w:type="pct"/>
            <w:noWrap/>
            <w:vAlign w:val="center"/>
          </w:tcPr>
          <w:p w14:paraId="1B4D812C">
            <w:pPr>
              <w:widowControl/>
              <w:snapToGrid w:val="0"/>
              <w:jc w:val="center"/>
              <w:rPr>
                <w:rFonts w:eastAsia="仿宋_GB2312"/>
                <w:kern w:val="0"/>
                <w:szCs w:val="21"/>
              </w:rPr>
            </w:pPr>
            <w:r>
              <w:rPr>
                <w:rFonts w:hint="eastAsia" w:eastAsia="仿宋_GB2312"/>
                <w:szCs w:val="21"/>
              </w:rPr>
              <w:t>...</w:t>
            </w:r>
          </w:p>
        </w:tc>
      </w:tr>
      <w:tr w14:paraId="476F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7" w:type="pct"/>
            <w:noWrap/>
            <w:vAlign w:val="center"/>
          </w:tcPr>
          <w:p w14:paraId="22246584">
            <w:pPr>
              <w:widowControl/>
              <w:snapToGrid w:val="0"/>
              <w:jc w:val="center"/>
              <w:rPr>
                <w:rFonts w:eastAsia="仿宋_GB2312"/>
                <w:color w:val="000000"/>
                <w:kern w:val="0"/>
                <w:szCs w:val="21"/>
              </w:rPr>
            </w:pPr>
            <w:r>
              <w:rPr>
                <w:rFonts w:hint="eastAsia" w:eastAsia="仿宋_GB2312"/>
                <w:color w:val="000000"/>
                <w:kern w:val="0"/>
                <w:szCs w:val="21"/>
              </w:rPr>
              <w:t>效益指标</w:t>
            </w:r>
          </w:p>
        </w:tc>
        <w:tc>
          <w:tcPr>
            <w:tcW w:w="1082" w:type="pct"/>
            <w:noWrap/>
            <w:vAlign w:val="center"/>
          </w:tcPr>
          <w:p w14:paraId="4BF2F6C3">
            <w:pPr>
              <w:widowControl/>
              <w:snapToGrid w:val="0"/>
              <w:jc w:val="center"/>
              <w:rPr>
                <w:rFonts w:eastAsia="仿宋_GB2312"/>
                <w:color w:val="000000"/>
                <w:kern w:val="0"/>
                <w:szCs w:val="21"/>
              </w:rPr>
            </w:pPr>
            <w:r>
              <w:rPr>
                <w:rFonts w:hint="eastAsia" w:eastAsia="仿宋_GB2312"/>
                <w:color w:val="000000"/>
                <w:szCs w:val="21"/>
              </w:rPr>
              <w:t>社会效益指标</w:t>
            </w:r>
          </w:p>
        </w:tc>
        <w:tc>
          <w:tcPr>
            <w:tcW w:w="2087" w:type="pct"/>
            <w:noWrap/>
            <w:vAlign w:val="center"/>
          </w:tcPr>
          <w:p w14:paraId="17C7269D">
            <w:pPr>
              <w:widowControl/>
              <w:snapToGrid w:val="0"/>
              <w:jc w:val="left"/>
              <w:rPr>
                <w:rFonts w:eastAsia="仿宋_GB2312"/>
                <w:kern w:val="0"/>
                <w:szCs w:val="21"/>
              </w:rPr>
            </w:pPr>
            <w:r>
              <w:rPr>
                <w:rFonts w:eastAsia="仿宋_GB2312"/>
                <w:color w:val="000000"/>
                <w:kern w:val="0"/>
                <w:szCs w:val="21"/>
              </w:rPr>
              <w:t>充电桩再检合格率</w:t>
            </w:r>
          </w:p>
        </w:tc>
        <w:tc>
          <w:tcPr>
            <w:tcW w:w="1082" w:type="pct"/>
            <w:noWrap/>
            <w:vAlign w:val="center"/>
          </w:tcPr>
          <w:p w14:paraId="345697B5">
            <w:pPr>
              <w:widowControl/>
              <w:snapToGrid w:val="0"/>
              <w:jc w:val="center"/>
              <w:rPr>
                <w:rFonts w:eastAsia="仿宋_GB2312"/>
                <w:kern w:val="0"/>
                <w:szCs w:val="21"/>
              </w:rPr>
            </w:pPr>
            <w:r>
              <w:rPr>
                <w:rFonts w:hint="eastAsia" w:eastAsia="仿宋_GB2312"/>
                <w:kern w:val="0"/>
                <w:szCs w:val="21"/>
              </w:rPr>
              <w:t>=</w:t>
            </w:r>
            <w:r>
              <w:rPr>
                <w:rFonts w:eastAsia="仿宋_GB2312"/>
                <w:kern w:val="0"/>
                <w:szCs w:val="21"/>
              </w:rPr>
              <w:t>100%</w:t>
            </w:r>
          </w:p>
        </w:tc>
      </w:tr>
      <w:tr w14:paraId="24C1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7" w:type="pct"/>
            <w:noWrap/>
            <w:vAlign w:val="center"/>
          </w:tcPr>
          <w:p w14:paraId="5A260510">
            <w:pPr>
              <w:widowControl/>
              <w:snapToGrid w:val="0"/>
              <w:jc w:val="center"/>
              <w:rPr>
                <w:rFonts w:eastAsia="仿宋_GB2312"/>
                <w:color w:val="000000"/>
                <w:kern w:val="0"/>
                <w:szCs w:val="21"/>
              </w:rPr>
            </w:pPr>
            <w:r>
              <w:rPr>
                <w:rFonts w:hint="eastAsia" w:eastAsia="仿宋_GB2312"/>
                <w:color w:val="000000"/>
                <w:kern w:val="0"/>
                <w:szCs w:val="21"/>
              </w:rPr>
              <w:t>满意度指标</w:t>
            </w:r>
          </w:p>
        </w:tc>
        <w:tc>
          <w:tcPr>
            <w:tcW w:w="1082" w:type="pct"/>
            <w:noWrap/>
            <w:vAlign w:val="center"/>
          </w:tcPr>
          <w:p w14:paraId="29698AAE">
            <w:pPr>
              <w:widowControl/>
              <w:snapToGrid w:val="0"/>
              <w:jc w:val="center"/>
              <w:rPr>
                <w:rFonts w:eastAsia="仿宋_GB2312"/>
                <w:color w:val="000000"/>
                <w:kern w:val="0"/>
                <w:szCs w:val="21"/>
              </w:rPr>
            </w:pPr>
            <w:r>
              <w:rPr>
                <w:rFonts w:hint="eastAsia" w:eastAsia="仿宋_GB2312"/>
                <w:color w:val="000000"/>
                <w:kern w:val="0"/>
                <w:szCs w:val="21"/>
              </w:rPr>
              <w:t>服务对象满意度</w:t>
            </w:r>
          </w:p>
        </w:tc>
        <w:tc>
          <w:tcPr>
            <w:tcW w:w="2087" w:type="pct"/>
            <w:noWrap/>
            <w:vAlign w:val="center"/>
          </w:tcPr>
          <w:p w14:paraId="14163939">
            <w:pPr>
              <w:widowControl/>
              <w:snapToGrid w:val="0"/>
              <w:jc w:val="left"/>
              <w:rPr>
                <w:rFonts w:eastAsia="仿宋_GB2312"/>
                <w:kern w:val="0"/>
                <w:szCs w:val="21"/>
              </w:rPr>
            </w:pPr>
            <w:r>
              <w:rPr>
                <w:rFonts w:hint="eastAsia" w:eastAsia="仿宋_GB2312"/>
                <w:szCs w:val="21"/>
              </w:rPr>
              <w:t>社会公众满意度</w:t>
            </w:r>
          </w:p>
        </w:tc>
        <w:tc>
          <w:tcPr>
            <w:tcW w:w="1082" w:type="pct"/>
            <w:noWrap/>
            <w:vAlign w:val="center"/>
          </w:tcPr>
          <w:p w14:paraId="3ACC3928">
            <w:pPr>
              <w:widowControl/>
              <w:snapToGrid w:val="0"/>
              <w:jc w:val="center"/>
              <w:rPr>
                <w:rFonts w:eastAsia="仿宋_GB2312"/>
                <w:kern w:val="0"/>
                <w:szCs w:val="21"/>
              </w:rPr>
            </w:pPr>
            <w:r>
              <w:rPr>
                <w:rFonts w:hint="eastAsia" w:eastAsia="仿宋_GB2312"/>
                <w:szCs w:val="21"/>
              </w:rPr>
              <w:t>≥9</w:t>
            </w:r>
            <w:r>
              <w:rPr>
                <w:rFonts w:eastAsia="仿宋_GB2312"/>
                <w:szCs w:val="21"/>
              </w:rPr>
              <w:t>0%</w:t>
            </w:r>
          </w:p>
        </w:tc>
      </w:tr>
    </w:tbl>
    <w:p w14:paraId="4A580172">
      <w:pPr>
        <w:spacing w:line="600" w:lineRule="exact"/>
        <w:ind w:firstLine="640" w:firstLineChars="200"/>
        <w:rPr>
          <w:rFonts w:eastAsia="仿宋_GB2312"/>
          <w:sz w:val="32"/>
          <w:szCs w:val="32"/>
        </w:rPr>
      </w:pPr>
      <w:r>
        <w:rPr>
          <w:rFonts w:hint="eastAsia" w:eastAsia="仿宋_GB2312"/>
          <w:sz w:val="32"/>
          <w:szCs w:val="32"/>
        </w:rPr>
        <w:t>项目总成本</w:t>
      </w:r>
      <w:r>
        <w:rPr>
          <w:rFonts w:hint="eastAsia" w:ascii="仿宋_GB2312" w:hAnsi="仿宋_GB2312" w:cs="仿宋_GB2312"/>
          <w:bCs/>
          <w:szCs w:val="32"/>
        </w:rPr>
        <w:t>≤</w:t>
      </w:r>
      <w:r>
        <w:rPr>
          <w:rFonts w:hint="eastAsia" w:eastAsia="仿宋_GB2312"/>
          <w:sz w:val="32"/>
          <w:szCs w:val="32"/>
        </w:rPr>
        <w:t>平均每台检定成本×年度充电桩检定完成数=550元/台×35000台=1925万元。由此，测算本项目预算总额应不高于1925万元。</w:t>
      </w:r>
    </w:p>
    <w:p w14:paraId="2618BECC">
      <w:pPr>
        <w:spacing w:line="600" w:lineRule="exact"/>
        <w:ind w:firstLine="643" w:firstLineChars="200"/>
        <w:rPr>
          <w:rFonts w:eastAsia="仿宋_GB2312"/>
          <w:b/>
          <w:bCs/>
          <w:sz w:val="32"/>
          <w:szCs w:val="32"/>
        </w:rPr>
      </w:pPr>
      <w:r>
        <w:rPr>
          <w:rFonts w:hint="eastAsia" w:eastAsia="仿宋_GB2312"/>
          <w:b/>
          <w:bCs/>
          <w:sz w:val="32"/>
          <w:szCs w:val="32"/>
        </w:rPr>
        <w:t>2.分项成本控制数</w:t>
      </w:r>
    </w:p>
    <w:p w14:paraId="01DE68D3">
      <w:pPr>
        <w:spacing w:line="600" w:lineRule="exact"/>
        <w:ind w:firstLine="640" w:firstLineChars="200"/>
        <w:rPr>
          <w:rFonts w:eastAsia="仿宋_GB2312"/>
          <w:sz w:val="32"/>
          <w:szCs w:val="32"/>
        </w:rPr>
      </w:pPr>
      <w:r>
        <w:rPr>
          <w:rFonts w:hint="eastAsia" w:eastAsia="仿宋_GB2312"/>
          <w:sz w:val="32"/>
          <w:szCs w:val="32"/>
        </w:rPr>
        <w:t>各部门应遵循“预期效益-预期产出-预期成本”的路径设置成本指标，对确实无法分拆测算单位成本的项目，应细化分析项目实施内容、任务清单和费用明细，参考经济分类科目和会计核算科目等，设定分项成本控制数。</w:t>
      </w:r>
    </w:p>
    <w:p w14:paraId="4F66A83F">
      <w:pPr>
        <w:spacing w:line="600" w:lineRule="exact"/>
        <w:ind w:firstLine="640" w:firstLineChars="200"/>
        <w:rPr>
          <w:rFonts w:eastAsia="仿宋_GB2312"/>
          <w:sz w:val="32"/>
          <w:szCs w:val="32"/>
        </w:rPr>
      </w:pPr>
      <w:r>
        <w:rPr>
          <w:rFonts w:hint="eastAsia" w:eastAsia="仿宋_GB2312"/>
          <w:sz w:val="32"/>
          <w:szCs w:val="32"/>
        </w:rPr>
        <w:t>【案例4】以“公共文化场馆的常设陈列展览项目”为例：</w:t>
      </w:r>
    </w:p>
    <w:p w14:paraId="3F0F01FE">
      <w:pPr>
        <w:spacing w:line="600" w:lineRule="exact"/>
        <w:ind w:firstLine="640" w:firstLineChars="200"/>
        <w:rPr>
          <w:rFonts w:eastAsia="仿宋_GB2312"/>
          <w:sz w:val="32"/>
          <w:szCs w:val="32"/>
        </w:rPr>
      </w:pPr>
      <w:r>
        <w:rPr>
          <w:rFonts w:hint="eastAsia" w:eastAsia="仿宋_GB2312"/>
          <w:sz w:val="32"/>
          <w:szCs w:val="32"/>
        </w:rPr>
        <w:t>某市属部门计划重新装修布置本市某博物馆的常设展览，涉及展区地面面积为2</w:t>
      </w:r>
      <w:r>
        <w:rPr>
          <w:rFonts w:eastAsia="仿宋_GB2312"/>
          <w:sz w:val="32"/>
          <w:szCs w:val="32"/>
        </w:rPr>
        <w:t>000</w:t>
      </w:r>
      <w:r>
        <w:rPr>
          <w:rFonts w:hint="eastAsia" w:eastAsia="仿宋_GB2312"/>
          <w:sz w:val="32"/>
          <w:szCs w:val="32"/>
        </w:rPr>
        <w:t>平方米，计划全年吸引参访人数2</w:t>
      </w:r>
      <w:r>
        <w:rPr>
          <w:rFonts w:eastAsia="仿宋_GB2312"/>
          <w:sz w:val="32"/>
          <w:szCs w:val="32"/>
        </w:rPr>
        <w:t>0</w:t>
      </w:r>
      <w:r>
        <w:rPr>
          <w:rFonts w:hint="eastAsia" w:eastAsia="仿宋_GB2312"/>
          <w:sz w:val="32"/>
          <w:szCs w:val="32"/>
        </w:rPr>
        <w:t>万人以上。按照相关规定，支出范围包括基础装修费、陈列布展费、多媒体系统工程费。</w:t>
      </w:r>
    </w:p>
    <w:p w14:paraId="19DDE45C">
      <w:pPr>
        <w:spacing w:line="600" w:lineRule="exact"/>
        <w:ind w:firstLine="643" w:firstLineChars="200"/>
        <w:rPr>
          <w:rFonts w:eastAsia="仿宋_GB2312"/>
          <w:sz w:val="32"/>
          <w:szCs w:val="32"/>
        </w:rPr>
      </w:pPr>
      <w:r>
        <w:rPr>
          <w:rFonts w:hint="eastAsia" w:eastAsia="仿宋_GB2312"/>
          <w:b/>
          <w:bCs/>
          <w:sz w:val="32"/>
          <w:szCs w:val="32"/>
        </w:rPr>
        <w:t>成本指标设置路径：</w:t>
      </w:r>
      <w:r>
        <w:rPr>
          <w:rFonts w:hint="eastAsia" w:eastAsia="仿宋_GB2312"/>
          <w:sz w:val="32"/>
          <w:szCs w:val="32"/>
        </w:rPr>
        <w:t>按照相关要求，将“展区地面面积”和“全年参访人次”分别作为核心产出指标和核心效益指标，标杆值分别为2</w:t>
      </w:r>
      <w:r>
        <w:rPr>
          <w:rFonts w:eastAsia="仿宋_GB2312"/>
          <w:sz w:val="32"/>
          <w:szCs w:val="32"/>
        </w:rPr>
        <w:t>000</w:t>
      </w:r>
      <w:r>
        <w:rPr>
          <w:rFonts w:hint="eastAsia" w:eastAsia="仿宋_GB2312"/>
          <w:sz w:val="32"/>
          <w:szCs w:val="32"/>
        </w:rPr>
        <w:t>平方米和2</w:t>
      </w:r>
      <w:r>
        <w:rPr>
          <w:rFonts w:eastAsia="仿宋_GB2312"/>
          <w:sz w:val="32"/>
          <w:szCs w:val="32"/>
        </w:rPr>
        <w:t>0</w:t>
      </w:r>
      <w:r>
        <w:rPr>
          <w:rFonts w:hint="eastAsia" w:eastAsia="仿宋_GB2312"/>
          <w:sz w:val="32"/>
          <w:szCs w:val="32"/>
        </w:rPr>
        <w:t>万人次。</w:t>
      </w:r>
    </w:p>
    <w:p w14:paraId="3B876898">
      <w:pPr>
        <w:spacing w:line="600" w:lineRule="exact"/>
        <w:ind w:firstLine="643" w:firstLineChars="200"/>
        <w:rPr>
          <w:rFonts w:eastAsia="仿宋_GB2312"/>
          <w:sz w:val="32"/>
          <w:szCs w:val="32"/>
        </w:rPr>
      </w:pPr>
      <w:r>
        <w:rPr>
          <w:rFonts w:hint="eastAsia" w:eastAsia="仿宋_GB2312"/>
          <w:b/>
          <w:bCs/>
          <w:sz w:val="32"/>
          <w:szCs w:val="32"/>
        </w:rPr>
        <w:t>单位成本指标：</w:t>
      </w:r>
      <w:r>
        <w:rPr>
          <w:rFonts w:hint="eastAsia" w:eastAsia="仿宋_GB2312"/>
          <w:sz w:val="32"/>
          <w:szCs w:val="32"/>
        </w:rPr>
        <w:t>针对基础装修费、陈列布展费，分别设置“单位面积基础装修成本”“单位面积陈列布展成本”。</w:t>
      </w:r>
    </w:p>
    <w:p w14:paraId="55E75F57">
      <w:pPr>
        <w:spacing w:line="600" w:lineRule="exact"/>
        <w:ind w:firstLine="643" w:firstLineChars="200"/>
        <w:rPr>
          <w:rFonts w:eastAsia="仿宋_GB2312"/>
          <w:sz w:val="32"/>
          <w:szCs w:val="32"/>
        </w:rPr>
      </w:pPr>
      <w:r>
        <w:rPr>
          <w:rFonts w:hint="eastAsia" w:eastAsia="仿宋_GB2312"/>
          <w:b/>
          <w:bCs/>
          <w:sz w:val="32"/>
          <w:szCs w:val="32"/>
        </w:rPr>
        <w:t>分项成本控制数：</w:t>
      </w:r>
      <w:r>
        <w:rPr>
          <w:rFonts w:hint="eastAsia" w:eastAsia="仿宋_GB2312"/>
          <w:sz w:val="32"/>
          <w:szCs w:val="32"/>
        </w:rPr>
        <w:t>针对多媒体系统工程费，无法拆分测算单位成本，设置“多媒体系统工作控制数”作为分项成本控制数指标。</w:t>
      </w:r>
    </w:p>
    <w:p w14:paraId="5B7E8CE7">
      <w:pPr>
        <w:spacing w:line="600" w:lineRule="exact"/>
        <w:ind w:firstLine="640" w:firstLineChars="200"/>
        <w:rPr>
          <w:rFonts w:eastAsia="仿宋_GB2312"/>
          <w:sz w:val="32"/>
          <w:szCs w:val="32"/>
        </w:rPr>
      </w:pPr>
      <w:r>
        <w:rPr>
          <w:rFonts w:hint="eastAsia" w:eastAsia="仿宋_GB2312"/>
          <w:sz w:val="32"/>
          <w:szCs w:val="32"/>
        </w:rPr>
        <w:t>按照对应关系，单位成本指标、分项成本指标及标杆值如下：</w:t>
      </w:r>
    </w:p>
    <w:tbl>
      <w:tblPr>
        <w:tblStyle w:val="1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1774"/>
        <w:gridCol w:w="4089"/>
        <w:gridCol w:w="1776"/>
      </w:tblGrid>
      <w:tr w14:paraId="192B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noWrap/>
          </w:tcPr>
          <w:p w14:paraId="20FC75CD">
            <w:pPr>
              <w:spacing w:line="400" w:lineRule="exact"/>
              <w:jc w:val="center"/>
              <w:rPr>
                <w:rFonts w:eastAsia="仿宋_GB2312"/>
                <w:b/>
                <w:szCs w:val="21"/>
              </w:rPr>
            </w:pPr>
            <w:bookmarkStart w:id="5" w:name="_Hlk175077453"/>
            <w:r>
              <w:rPr>
                <w:rFonts w:hint="eastAsia" w:eastAsia="仿宋_GB2312"/>
                <w:b/>
                <w:szCs w:val="21"/>
              </w:rPr>
              <w:t>一级指标</w:t>
            </w:r>
          </w:p>
        </w:tc>
        <w:tc>
          <w:tcPr>
            <w:tcW w:w="1774" w:type="dxa"/>
            <w:noWrap/>
          </w:tcPr>
          <w:p w14:paraId="2202B427">
            <w:pPr>
              <w:spacing w:line="400" w:lineRule="exact"/>
              <w:jc w:val="center"/>
              <w:rPr>
                <w:rFonts w:eastAsia="仿宋_GB2312"/>
                <w:b/>
                <w:szCs w:val="21"/>
              </w:rPr>
            </w:pPr>
            <w:r>
              <w:rPr>
                <w:rFonts w:hint="eastAsia" w:eastAsia="仿宋_GB2312"/>
                <w:b/>
                <w:szCs w:val="21"/>
              </w:rPr>
              <w:t>二级指标</w:t>
            </w:r>
          </w:p>
        </w:tc>
        <w:tc>
          <w:tcPr>
            <w:tcW w:w="4089" w:type="dxa"/>
            <w:noWrap/>
          </w:tcPr>
          <w:p w14:paraId="601588E3">
            <w:pPr>
              <w:spacing w:line="400" w:lineRule="exact"/>
              <w:jc w:val="center"/>
              <w:rPr>
                <w:rFonts w:eastAsia="仿宋_GB2312"/>
                <w:b/>
                <w:szCs w:val="21"/>
              </w:rPr>
            </w:pPr>
            <w:r>
              <w:rPr>
                <w:rFonts w:hint="eastAsia" w:eastAsia="仿宋_GB2312"/>
                <w:b/>
                <w:szCs w:val="21"/>
              </w:rPr>
              <w:t>三级指标</w:t>
            </w:r>
          </w:p>
        </w:tc>
        <w:tc>
          <w:tcPr>
            <w:tcW w:w="1776" w:type="dxa"/>
            <w:noWrap/>
          </w:tcPr>
          <w:p w14:paraId="6E2931DA">
            <w:pPr>
              <w:spacing w:line="400" w:lineRule="exact"/>
              <w:jc w:val="center"/>
              <w:rPr>
                <w:rFonts w:eastAsia="仿宋_GB2312"/>
                <w:b/>
                <w:szCs w:val="21"/>
              </w:rPr>
            </w:pPr>
            <w:r>
              <w:rPr>
                <w:rFonts w:hint="eastAsia" w:eastAsia="仿宋_GB2312"/>
                <w:b/>
                <w:szCs w:val="21"/>
              </w:rPr>
              <w:t>绩效指标值</w:t>
            </w:r>
          </w:p>
        </w:tc>
      </w:tr>
      <w:tr w14:paraId="5135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restart"/>
            <w:noWrap/>
            <w:vAlign w:val="center"/>
          </w:tcPr>
          <w:p w14:paraId="015985CF">
            <w:pPr>
              <w:spacing w:line="400" w:lineRule="exact"/>
              <w:jc w:val="center"/>
              <w:rPr>
                <w:rFonts w:eastAsia="仿宋_GB2312"/>
                <w:szCs w:val="21"/>
              </w:rPr>
            </w:pPr>
            <w:r>
              <w:rPr>
                <w:rFonts w:hint="eastAsia" w:eastAsia="仿宋_GB2312"/>
                <w:szCs w:val="21"/>
              </w:rPr>
              <w:t>成本指标</w:t>
            </w:r>
          </w:p>
        </w:tc>
        <w:tc>
          <w:tcPr>
            <w:tcW w:w="1774" w:type="dxa"/>
            <w:vMerge w:val="restart"/>
            <w:noWrap/>
            <w:vAlign w:val="center"/>
          </w:tcPr>
          <w:p w14:paraId="5588F1C0">
            <w:pPr>
              <w:spacing w:line="400" w:lineRule="exact"/>
              <w:jc w:val="center"/>
              <w:rPr>
                <w:rFonts w:eastAsia="仿宋_GB2312"/>
                <w:szCs w:val="21"/>
              </w:rPr>
            </w:pPr>
            <w:r>
              <w:rPr>
                <w:rFonts w:hint="eastAsia" w:eastAsia="仿宋_GB2312"/>
                <w:szCs w:val="21"/>
              </w:rPr>
              <w:t>经济成本指标</w:t>
            </w:r>
          </w:p>
        </w:tc>
        <w:tc>
          <w:tcPr>
            <w:tcW w:w="4089" w:type="dxa"/>
            <w:noWrap/>
            <w:vAlign w:val="center"/>
          </w:tcPr>
          <w:p w14:paraId="05B5DEF1">
            <w:pPr>
              <w:spacing w:line="400" w:lineRule="exact"/>
              <w:rPr>
                <w:rFonts w:eastAsia="仿宋_GB2312"/>
                <w:szCs w:val="21"/>
              </w:rPr>
            </w:pPr>
            <w:r>
              <w:rPr>
                <w:rFonts w:hint="eastAsia" w:eastAsia="仿宋_GB2312"/>
                <w:szCs w:val="21"/>
              </w:rPr>
              <w:t>单位面积基础装修成本（单位成本指标）</w:t>
            </w:r>
          </w:p>
        </w:tc>
        <w:tc>
          <w:tcPr>
            <w:tcW w:w="1776" w:type="dxa"/>
            <w:noWrap/>
            <w:vAlign w:val="center"/>
          </w:tcPr>
          <w:p w14:paraId="1A84E037">
            <w:pPr>
              <w:spacing w:line="400" w:lineRule="exact"/>
              <w:jc w:val="center"/>
              <w:rPr>
                <w:rFonts w:eastAsia="仿宋_GB2312"/>
                <w:szCs w:val="21"/>
              </w:rPr>
            </w:pPr>
            <w:r>
              <w:rPr>
                <w:rFonts w:hint="eastAsia" w:eastAsia="仿宋_GB2312"/>
                <w:szCs w:val="21"/>
              </w:rPr>
              <w:t>≤</w:t>
            </w:r>
            <w:r>
              <w:rPr>
                <w:rFonts w:eastAsia="仿宋_GB2312"/>
                <w:szCs w:val="21"/>
              </w:rPr>
              <w:t>3000</w:t>
            </w:r>
            <w:r>
              <w:rPr>
                <w:rFonts w:hint="eastAsia" w:eastAsia="仿宋_GB2312"/>
                <w:szCs w:val="21"/>
              </w:rPr>
              <w:t>元</w:t>
            </w:r>
            <w:r>
              <w:rPr>
                <w:rFonts w:eastAsia="仿宋_GB2312"/>
                <w:szCs w:val="21"/>
              </w:rPr>
              <w:t>/</w:t>
            </w:r>
            <w:r>
              <w:rPr>
                <w:rFonts w:hint="eastAsia" w:eastAsia="仿宋_GB2312"/>
                <w:szCs w:val="21"/>
              </w:rPr>
              <w:t>平方米</w:t>
            </w:r>
          </w:p>
        </w:tc>
      </w:tr>
      <w:tr w14:paraId="6C71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continue"/>
            <w:noWrap/>
          </w:tcPr>
          <w:p w14:paraId="43020E37">
            <w:pPr>
              <w:spacing w:line="400" w:lineRule="exact"/>
              <w:jc w:val="center"/>
              <w:rPr>
                <w:rFonts w:eastAsia="仿宋_GB2312"/>
                <w:szCs w:val="21"/>
              </w:rPr>
            </w:pPr>
          </w:p>
        </w:tc>
        <w:tc>
          <w:tcPr>
            <w:tcW w:w="1774" w:type="dxa"/>
            <w:vMerge w:val="continue"/>
            <w:noWrap/>
          </w:tcPr>
          <w:p w14:paraId="577ED777">
            <w:pPr>
              <w:spacing w:line="400" w:lineRule="exact"/>
              <w:rPr>
                <w:rFonts w:eastAsia="仿宋_GB2312"/>
                <w:szCs w:val="21"/>
              </w:rPr>
            </w:pPr>
          </w:p>
        </w:tc>
        <w:tc>
          <w:tcPr>
            <w:tcW w:w="4089" w:type="dxa"/>
            <w:noWrap/>
            <w:vAlign w:val="center"/>
          </w:tcPr>
          <w:p w14:paraId="2CF65F57">
            <w:pPr>
              <w:spacing w:line="400" w:lineRule="exact"/>
              <w:rPr>
                <w:rFonts w:eastAsia="仿宋_GB2312"/>
                <w:szCs w:val="21"/>
              </w:rPr>
            </w:pPr>
            <w:r>
              <w:rPr>
                <w:rFonts w:hint="eastAsia" w:eastAsia="仿宋_GB2312"/>
                <w:szCs w:val="21"/>
              </w:rPr>
              <w:t>单位面积陈列布展成本（单位成本指标）</w:t>
            </w:r>
          </w:p>
        </w:tc>
        <w:tc>
          <w:tcPr>
            <w:tcW w:w="1776" w:type="dxa"/>
            <w:noWrap/>
            <w:vAlign w:val="center"/>
          </w:tcPr>
          <w:p w14:paraId="45380647">
            <w:pPr>
              <w:spacing w:line="400" w:lineRule="exact"/>
              <w:jc w:val="center"/>
              <w:rPr>
                <w:rFonts w:eastAsia="仿宋_GB2312"/>
                <w:szCs w:val="21"/>
              </w:rPr>
            </w:pPr>
            <w:r>
              <w:rPr>
                <w:rFonts w:hint="eastAsia" w:eastAsia="仿宋_GB2312"/>
                <w:szCs w:val="21"/>
              </w:rPr>
              <w:t>≤6</w:t>
            </w:r>
            <w:r>
              <w:rPr>
                <w:rFonts w:eastAsia="仿宋_GB2312"/>
                <w:szCs w:val="21"/>
              </w:rPr>
              <w:t>000元/平方米</w:t>
            </w:r>
          </w:p>
        </w:tc>
      </w:tr>
      <w:tr w14:paraId="27E8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continue"/>
            <w:noWrap/>
          </w:tcPr>
          <w:p w14:paraId="6A27B1F5">
            <w:pPr>
              <w:spacing w:line="400" w:lineRule="exact"/>
              <w:jc w:val="center"/>
              <w:rPr>
                <w:rFonts w:eastAsia="仿宋_GB2312"/>
                <w:szCs w:val="21"/>
              </w:rPr>
            </w:pPr>
          </w:p>
        </w:tc>
        <w:tc>
          <w:tcPr>
            <w:tcW w:w="1774" w:type="dxa"/>
            <w:vMerge w:val="continue"/>
            <w:noWrap/>
          </w:tcPr>
          <w:p w14:paraId="1E1CCD3C">
            <w:pPr>
              <w:spacing w:line="400" w:lineRule="exact"/>
              <w:rPr>
                <w:rFonts w:eastAsia="仿宋_GB2312"/>
                <w:szCs w:val="21"/>
              </w:rPr>
            </w:pPr>
          </w:p>
        </w:tc>
        <w:tc>
          <w:tcPr>
            <w:tcW w:w="4089" w:type="dxa"/>
            <w:noWrap/>
            <w:vAlign w:val="center"/>
          </w:tcPr>
          <w:p w14:paraId="13B040FA">
            <w:pPr>
              <w:spacing w:line="400" w:lineRule="exact"/>
              <w:rPr>
                <w:rFonts w:eastAsia="仿宋_GB2312"/>
                <w:szCs w:val="21"/>
              </w:rPr>
            </w:pPr>
            <w:r>
              <w:rPr>
                <w:rFonts w:hint="eastAsia" w:eastAsia="仿宋_GB2312"/>
                <w:szCs w:val="21"/>
              </w:rPr>
              <w:t>多媒体系统工作控制数（分项成本控制数）</w:t>
            </w:r>
          </w:p>
        </w:tc>
        <w:tc>
          <w:tcPr>
            <w:tcW w:w="1776" w:type="dxa"/>
            <w:noWrap/>
            <w:vAlign w:val="center"/>
          </w:tcPr>
          <w:p w14:paraId="72A1CEF8">
            <w:pPr>
              <w:spacing w:line="400" w:lineRule="exact"/>
              <w:jc w:val="center"/>
              <w:rPr>
                <w:rFonts w:eastAsia="仿宋_GB2312"/>
                <w:szCs w:val="21"/>
              </w:rPr>
            </w:pPr>
            <w:r>
              <w:rPr>
                <w:rFonts w:hint="eastAsia" w:eastAsia="仿宋_GB2312"/>
                <w:szCs w:val="21"/>
              </w:rPr>
              <w:t>450万元</w:t>
            </w:r>
          </w:p>
        </w:tc>
      </w:tr>
      <w:tr w14:paraId="7185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restart"/>
            <w:noWrap/>
            <w:vAlign w:val="center"/>
          </w:tcPr>
          <w:p w14:paraId="0B7714D8">
            <w:pPr>
              <w:spacing w:line="400" w:lineRule="exact"/>
              <w:jc w:val="center"/>
              <w:rPr>
                <w:rFonts w:eastAsia="仿宋_GB2312"/>
                <w:szCs w:val="21"/>
              </w:rPr>
            </w:pPr>
            <w:r>
              <w:rPr>
                <w:rFonts w:hint="eastAsia" w:eastAsia="仿宋_GB2312"/>
                <w:szCs w:val="21"/>
              </w:rPr>
              <w:t>产出指标</w:t>
            </w:r>
          </w:p>
        </w:tc>
        <w:tc>
          <w:tcPr>
            <w:tcW w:w="1774" w:type="dxa"/>
            <w:noWrap/>
            <w:vAlign w:val="center"/>
          </w:tcPr>
          <w:p w14:paraId="3BAD58DF">
            <w:pPr>
              <w:spacing w:line="400" w:lineRule="exact"/>
              <w:jc w:val="center"/>
              <w:rPr>
                <w:rFonts w:eastAsia="仿宋_GB2312"/>
                <w:szCs w:val="21"/>
              </w:rPr>
            </w:pPr>
            <w:r>
              <w:rPr>
                <w:rFonts w:hint="eastAsia" w:eastAsia="仿宋_GB2312"/>
                <w:szCs w:val="21"/>
              </w:rPr>
              <w:t>数量指标</w:t>
            </w:r>
          </w:p>
        </w:tc>
        <w:tc>
          <w:tcPr>
            <w:tcW w:w="4089" w:type="dxa"/>
            <w:noWrap/>
            <w:vAlign w:val="center"/>
          </w:tcPr>
          <w:p w14:paraId="524478AE">
            <w:pPr>
              <w:spacing w:line="400" w:lineRule="exact"/>
              <w:rPr>
                <w:rFonts w:eastAsia="仿宋_GB2312"/>
                <w:szCs w:val="21"/>
              </w:rPr>
            </w:pPr>
            <w:r>
              <w:rPr>
                <w:rFonts w:hint="eastAsia" w:eastAsia="仿宋_GB2312"/>
                <w:szCs w:val="21"/>
              </w:rPr>
              <w:t>展区地面面积</w:t>
            </w:r>
          </w:p>
        </w:tc>
        <w:tc>
          <w:tcPr>
            <w:tcW w:w="1776" w:type="dxa"/>
            <w:noWrap/>
            <w:vAlign w:val="center"/>
          </w:tcPr>
          <w:p w14:paraId="4DCCE01B">
            <w:pPr>
              <w:spacing w:line="400" w:lineRule="exact"/>
              <w:jc w:val="center"/>
              <w:rPr>
                <w:rFonts w:eastAsia="仿宋_GB2312"/>
                <w:szCs w:val="21"/>
              </w:rPr>
            </w:pPr>
            <w:r>
              <w:rPr>
                <w:rFonts w:hint="eastAsia" w:eastAsia="仿宋_GB2312"/>
                <w:szCs w:val="21"/>
              </w:rPr>
              <w:t>＝</w:t>
            </w:r>
            <w:r>
              <w:rPr>
                <w:rFonts w:eastAsia="仿宋_GB2312"/>
                <w:szCs w:val="21"/>
              </w:rPr>
              <w:t>2000</w:t>
            </w:r>
            <w:r>
              <w:rPr>
                <w:rFonts w:hint="eastAsia" w:eastAsia="仿宋_GB2312"/>
                <w:szCs w:val="21"/>
              </w:rPr>
              <w:t>平方米</w:t>
            </w:r>
          </w:p>
        </w:tc>
      </w:tr>
      <w:tr w14:paraId="1226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continue"/>
            <w:noWrap/>
            <w:vAlign w:val="center"/>
          </w:tcPr>
          <w:p w14:paraId="39F12961">
            <w:pPr>
              <w:spacing w:line="400" w:lineRule="exact"/>
              <w:jc w:val="center"/>
              <w:rPr>
                <w:rFonts w:eastAsia="仿宋_GB2312"/>
                <w:szCs w:val="21"/>
              </w:rPr>
            </w:pPr>
          </w:p>
        </w:tc>
        <w:tc>
          <w:tcPr>
            <w:tcW w:w="1774" w:type="dxa"/>
            <w:noWrap/>
            <w:vAlign w:val="center"/>
          </w:tcPr>
          <w:p w14:paraId="6CDACEEB">
            <w:pPr>
              <w:spacing w:line="400" w:lineRule="exact"/>
              <w:jc w:val="center"/>
              <w:rPr>
                <w:rFonts w:eastAsia="仿宋_GB2312"/>
                <w:szCs w:val="21"/>
              </w:rPr>
            </w:pPr>
            <w:r>
              <w:rPr>
                <w:rFonts w:hint="eastAsia" w:eastAsia="仿宋_GB2312"/>
                <w:szCs w:val="21"/>
              </w:rPr>
              <w:t>质量指标</w:t>
            </w:r>
          </w:p>
        </w:tc>
        <w:tc>
          <w:tcPr>
            <w:tcW w:w="4089" w:type="dxa"/>
            <w:noWrap/>
            <w:vAlign w:val="center"/>
          </w:tcPr>
          <w:p w14:paraId="3EC39A86">
            <w:pPr>
              <w:widowControl/>
              <w:snapToGrid w:val="0"/>
              <w:jc w:val="left"/>
              <w:rPr>
                <w:rFonts w:eastAsia="仿宋_GB2312"/>
                <w:kern w:val="0"/>
                <w:szCs w:val="21"/>
              </w:rPr>
            </w:pPr>
            <w:r>
              <w:rPr>
                <w:rFonts w:hint="eastAsia" w:eastAsia="仿宋_GB2312"/>
                <w:szCs w:val="21"/>
              </w:rPr>
              <w:t>...</w:t>
            </w:r>
          </w:p>
        </w:tc>
        <w:tc>
          <w:tcPr>
            <w:tcW w:w="1776" w:type="dxa"/>
            <w:noWrap/>
            <w:vAlign w:val="center"/>
          </w:tcPr>
          <w:p w14:paraId="3D0D72BD">
            <w:pPr>
              <w:widowControl/>
              <w:snapToGrid w:val="0"/>
              <w:jc w:val="center"/>
              <w:rPr>
                <w:rFonts w:eastAsia="仿宋_GB2312"/>
                <w:kern w:val="0"/>
                <w:szCs w:val="21"/>
              </w:rPr>
            </w:pPr>
            <w:r>
              <w:rPr>
                <w:rFonts w:hint="eastAsia" w:eastAsia="仿宋_GB2312"/>
                <w:szCs w:val="21"/>
              </w:rPr>
              <w:t>...</w:t>
            </w:r>
          </w:p>
        </w:tc>
      </w:tr>
      <w:tr w14:paraId="6328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vMerge w:val="continue"/>
            <w:noWrap/>
            <w:vAlign w:val="center"/>
          </w:tcPr>
          <w:p w14:paraId="7D7205F8">
            <w:pPr>
              <w:spacing w:line="400" w:lineRule="exact"/>
              <w:jc w:val="center"/>
              <w:rPr>
                <w:rFonts w:eastAsia="仿宋_GB2312"/>
                <w:szCs w:val="21"/>
              </w:rPr>
            </w:pPr>
          </w:p>
        </w:tc>
        <w:tc>
          <w:tcPr>
            <w:tcW w:w="1774" w:type="dxa"/>
            <w:noWrap/>
            <w:vAlign w:val="center"/>
          </w:tcPr>
          <w:p w14:paraId="4A3AD10F">
            <w:pPr>
              <w:spacing w:line="400" w:lineRule="exact"/>
              <w:jc w:val="center"/>
              <w:rPr>
                <w:rFonts w:eastAsia="仿宋_GB2312"/>
                <w:szCs w:val="21"/>
              </w:rPr>
            </w:pPr>
            <w:r>
              <w:rPr>
                <w:rFonts w:hint="eastAsia" w:eastAsia="仿宋_GB2312"/>
                <w:szCs w:val="21"/>
              </w:rPr>
              <w:t>时效指标</w:t>
            </w:r>
          </w:p>
        </w:tc>
        <w:tc>
          <w:tcPr>
            <w:tcW w:w="4089" w:type="dxa"/>
            <w:noWrap/>
            <w:vAlign w:val="center"/>
          </w:tcPr>
          <w:p w14:paraId="6290F202">
            <w:pPr>
              <w:widowControl/>
              <w:snapToGrid w:val="0"/>
              <w:jc w:val="left"/>
              <w:rPr>
                <w:rFonts w:eastAsia="仿宋_GB2312"/>
                <w:kern w:val="0"/>
                <w:szCs w:val="21"/>
              </w:rPr>
            </w:pPr>
            <w:r>
              <w:rPr>
                <w:rFonts w:hint="eastAsia" w:eastAsia="仿宋_GB2312"/>
                <w:szCs w:val="21"/>
              </w:rPr>
              <w:t>...</w:t>
            </w:r>
          </w:p>
        </w:tc>
        <w:tc>
          <w:tcPr>
            <w:tcW w:w="1776" w:type="dxa"/>
            <w:noWrap/>
            <w:vAlign w:val="center"/>
          </w:tcPr>
          <w:p w14:paraId="2AF8A58D">
            <w:pPr>
              <w:widowControl/>
              <w:snapToGrid w:val="0"/>
              <w:jc w:val="center"/>
              <w:rPr>
                <w:rFonts w:eastAsia="仿宋_GB2312"/>
                <w:kern w:val="0"/>
                <w:szCs w:val="21"/>
              </w:rPr>
            </w:pPr>
            <w:r>
              <w:rPr>
                <w:rFonts w:hint="eastAsia" w:eastAsia="仿宋_GB2312"/>
                <w:szCs w:val="21"/>
              </w:rPr>
              <w:t>...</w:t>
            </w:r>
          </w:p>
        </w:tc>
      </w:tr>
      <w:tr w14:paraId="3433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noWrap/>
            <w:vAlign w:val="center"/>
          </w:tcPr>
          <w:p w14:paraId="66A77A22">
            <w:pPr>
              <w:spacing w:line="400" w:lineRule="exact"/>
              <w:jc w:val="center"/>
              <w:rPr>
                <w:rFonts w:eastAsia="仿宋_GB2312"/>
                <w:szCs w:val="21"/>
              </w:rPr>
            </w:pPr>
            <w:r>
              <w:rPr>
                <w:rFonts w:hint="eastAsia" w:eastAsia="仿宋_GB2312"/>
                <w:szCs w:val="21"/>
              </w:rPr>
              <w:t>效益指标</w:t>
            </w:r>
          </w:p>
        </w:tc>
        <w:tc>
          <w:tcPr>
            <w:tcW w:w="1774" w:type="dxa"/>
            <w:noWrap/>
            <w:vAlign w:val="center"/>
          </w:tcPr>
          <w:p w14:paraId="0A74A5A3">
            <w:pPr>
              <w:spacing w:line="400" w:lineRule="exact"/>
              <w:jc w:val="center"/>
              <w:rPr>
                <w:rFonts w:eastAsia="仿宋_GB2312"/>
                <w:szCs w:val="21"/>
              </w:rPr>
            </w:pPr>
            <w:r>
              <w:rPr>
                <w:rFonts w:hint="eastAsia" w:eastAsia="仿宋_GB2312"/>
                <w:szCs w:val="21"/>
              </w:rPr>
              <w:t>社会效益指标</w:t>
            </w:r>
          </w:p>
        </w:tc>
        <w:tc>
          <w:tcPr>
            <w:tcW w:w="4089" w:type="dxa"/>
            <w:noWrap/>
            <w:vAlign w:val="center"/>
          </w:tcPr>
          <w:p w14:paraId="1CB684D6">
            <w:pPr>
              <w:spacing w:line="400" w:lineRule="exact"/>
              <w:rPr>
                <w:rFonts w:eastAsia="仿宋_GB2312"/>
                <w:szCs w:val="21"/>
              </w:rPr>
            </w:pPr>
            <w:r>
              <w:rPr>
                <w:rFonts w:hint="eastAsia" w:eastAsia="仿宋_GB2312"/>
                <w:szCs w:val="21"/>
              </w:rPr>
              <w:t>全年参访人次</w:t>
            </w:r>
          </w:p>
        </w:tc>
        <w:tc>
          <w:tcPr>
            <w:tcW w:w="1776" w:type="dxa"/>
            <w:noWrap/>
            <w:vAlign w:val="center"/>
          </w:tcPr>
          <w:p w14:paraId="3C9EF77B">
            <w:pPr>
              <w:spacing w:line="400" w:lineRule="exact"/>
              <w:jc w:val="center"/>
              <w:rPr>
                <w:rFonts w:eastAsia="仿宋_GB2312"/>
                <w:szCs w:val="21"/>
              </w:rPr>
            </w:pPr>
            <w:r>
              <w:rPr>
                <w:rFonts w:hint="eastAsia" w:eastAsia="仿宋_GB2312"/>
                <w:szCs w:val="21"/>
              </w:rPr>
              <w:t>≥</w:t>
            </w:r>
            <w:r>
              <w:rPr>
                <w:rFonts w:eastAsia="仿宋_GB2312"/>
                <w:szCs w:val="21"/>
              </w:rPr>
              <w:t>20</w:t>
            </w:r>
            <w:r>
              <w:rPr>
                <w:rFonts w:hint="eastAsia" w:eastAsia="仿宋_GB2312"/>
                <w:szCs w:val="21"/>
              </w:rPr>
              <w:t>万人次</w:t>
            </w:r>
          </w:p>
        </w:tc>
      </w:tr>
      <w:tr w14:paraId="1793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7" w:type="dxa"/>
            <w:noWrap/>
            <w:vAlign w:val="center"/>
          </w:tcPr>
          <w:p w14:paraId="68796480">
            <w:pPr>
              <w:spacing w:line="400" w:lineRule="exact"/>
              <w:jc w:val="center"/>
              <w:rPr>
                <w:rFonts w:eastAsia="仿宋_GB2312"/>
                <w:szCs w:val="21"/>
              </w:rPr>
            </w:pPr>
            <w:r>
              <w:rPr>
                <w:rFonts w:hint="eastAsia" w:eastAsia="仿宋_GB2312"/>
                <w:szCs w:val="21"/>
              </w:rPr>
              <w:t>满意度指标</w:t>
            </w:r>
          </w:p>
        </w:tc>
        <w:tc>
          <w:tcPr>
            <w:tcW w:w="1774" w:type="dxa"/>
            <w:noWrap/>
            <w:vAlign w:val="center"/>
          </w:tcPr>
          <w:p w14:paraId="0D2FA071">
            <w:pPr>
              <w:spacing w:line="400" w:lineRule="exact"/>
              <w:jc w:val="center"/>
              <w:rPr>
                <w:rFonts w:eastAsia="仿宋_GB2312"/>
                <w:szCs w:val="21"/>
              </w:rPr>
            </w:pPr>
            <w:r>
              <w:rPr>
                <w:rFonts w:hint="eastAsia" w:eastAsia="仿宋_GB2312"/>
                <w:szCs w:val="21"/>
              </w:rPr>
              <w:t>服务对象满意度</w:t>
            </w:r>
          </w:p>
        </w:tc>
        <w:tc>
          <w:tcPr>
            <w:tcW w:w="4089" w:type="dxa"/>
            <w:noWrap/>
            <w:vAlign w:val="center"/>
          </w:tcPr>
          <w:p w14:paraId="2B3261AD">
            <w:pPr>
              <w:spacing w:line="400" w:lineRule="exact"/>
              <w:rPr>
                <w:rFonts w:eastAsia="仿宋_GB2312"/>
                <w:szCs w:val="21"/>
              </w:rPr>
            </w:pPr>
            <w:r>
              <w:rPr>
                <w:rFonts w:hint="eastAsia" w:eastAsia="仿宋_GB2312"/>
                <w:szCs w:val="21"/>
              </w:rPr>
              <w:t>...</w:t>
            </w:r>
          </w:p>
        </w:tc>
        <w:tc>
          <w:tcPr>
            <w:tcW w:w="1776" w:type="dxa"/>
            <w:noWrap/>
            <w:vAlign w:val="center"/>
          </w:tcPr>
          <w:p w14:paraId="65B898ED">
            <w:pPr>
              <w:spacing w:line="400" w:lineRule="exact"/>
              <w:jc w:val="center"/>
              <w:rPr>
                <w:rFonts w:eastAsia="仿宋_GB2312"/>
                <w:szCs w:val="21"/>
              </w:rPr>
            </w:pPr>
            <w:r>
              <w:rPr>
                <w:rFonts w:hint="eastAsia" w:eastAsia="仿宋_GB2312"/>
                <w:szCs w:val="21"/>
              </w:rPr>
              <w:t>...</w:t>
            </w:r>
          </w:p>
        </w:tc>
      </w:tr>
      <w:bookmarkEnd w:id="5"/>
    </w:tbl>
    <w:p w14:paraId="10730656">
      <w:pPr>
        <w:spacing w:line="600" w:lineRule="exact"/>
        <w:ind w:firstLine="640" w:firstLineChars="200"/>
        <w:rPr>
          <w:rFonts w:eastAsia="仿宋_GB2312"/>
          <w:sz w:val="32"/>
          <w:szCs w:val="32"/>
        </w:rPr>
      </w:pPr>
      <w:bookmarkStart w:id="6" w:name="_Hlk173247029"/>
      <w:r>
        <w:rPr>
          <w:rFonts w:hint="eastAsia" w:eastAsia="仿宋_GB2312"/>
          <w:sz w:val="32"/>
          <w:szCs w:val="32"/>
        </w:rPr>
        <w:t>项目总成本</w:t>
      </w:r>
      <w:r>
        <w:rPr>
          <w:rFonts w:hint="eastAsia" w:ascii="仿宋_GB2312" w:hAnsi="仿宋_GB2312" w:cs="仿宋_GB2312"/>
          <w:bCs/>
          <w:szCs w:val="32"/>
        </w:rPr>
        <w:t>≤</w:t>
      </w:r>
      <w:r>
        <w:rPr>
          <w:rFonts w:hint="eastAsia" w:eastAsia="仿宋_GB2312"/>
          <w:sz w:val="32"/>
          <w:szCs w:val="32"/>
        </w:rPr>
        <w:t>（单位面积基础装修成本+单位面积陈列布展成本</w:t>
      </w:r>
      <w:bookmarkEnd w:id="6"/>
      <w:r>
        <w:rPr>
          <w:rFonts w:hint="eastAsia" w:eastAsia="仿宋_GB2312"/>
          <w:sz w:val="32"/>
          <w:szCs w:val="32"/>
        </w:rPr>
        <w:t>）×展区地面面积+多媒体系统工作成本控制数=（</w:t>
      </w:r>
      <w:r>
        <w:rPr>
          <w:rFonts w:eastAsia="仿宋_GB2312"/>
          <w:sz w:val="32"/>
          <w:szCs w:val="32"/>
        </w:rPr>
        <w:t>3000元/平方米</w:t>
      </w:r>
      <w:r>
        <w:rPr>
          <w:rFonts w:hint="eastAsia" w:eastAsia="仿宋_GB2312"/>
          <w:sz w:val="32"/>
          <w:szCs w:val="32"/>
        </w:rPr>
        <w:t>+</w:t>
      </w:r>
      <w:r>
        <w:rPr>
          <w:rFonts w:eastAsia="仿宋_GB2312"/>
          <w:sz w:val="32"/>
          <w:szCs w:val="32"/>
        </w:rPr>
        <w:t>6000元/平方米</w:t>
      </w:r>
      <w:r>
        <w:rPr>
          <w:rFonts w:hint="eastAsia" w:eastAsia="仿宋_GB2312"/>
          <w:sz w:val="32"/>
          <w:szCs w:val="32"/>
        </w:rPr>
        <w:t>）×2</w:t>
      </w:r>
      <w:r>
        <w:rPr>
          <w:rFonts w:eastAsia="仿宋_GB2312"/>
          <w:sz w:val="32"/>
          <w:szCs w:val="32"/>
        </w:rPr>
        <w:t>000</w:t>
      </w:r>
      <w:r>
        <w:rPr>
          <w:rFonts w:hint="eastAsia" w:eastAsia="仿宋_GB2312"/>
          <w:sz w:val="32"/>
          <w:szCs w:val="32"/>
        </w:rPr>
        <w:t>平方米+450万元=2250万元。</w:t>
      </w:r>
    </w:p>
    <w:p w14:paraId="3431BC6F">
      <w:pPr>
        <w:spacing w:line="600" w:lineRule="exact"/>
        <w:ind w:firstLine="640" w:firstLineChars="200"/>
        <w:rPr>
          <w:rFonts w:eastAsia="仿宋_GB2312"/>
          <w:sz w:val="32"/>
          <w:szCs w:val="32"/>
        </w:rPr>
      </w:pPr>
      <w:r>
        <w:rPr>
          <w:rFonts w:hint="eastAsia" w:eastAsia="仿宋_GB2312"/>
          <w:sz w:val="32"/>
          <w:szCs w:val="32"/>
        </w:rPr>
        <w:t>其中，按照文件规定，多媒体系统工作经费不能超过项目总预算比例20%，得出多媒体系统工作成本控制数450万元。由此，确定本项目预算总额应不高于2250万元。</w:t>
      </w:r>
    </w:p>
    <w:p w14:paraId="7A45B77F">
      <w:pPr>
        <w:spacing w:line="600" w:lineRule="exact"/>
        <w:ind w:firstLine="640" w:firstLineChars="200"/>
        <w:rPr>
          <w:rFonts w:eastAsia="黑体"/>
          <w:bCs/>
          <w:sz w:val="32"/>
          <w:szCs w:val="32"/>
        </w:rPr>
      </w:pPr>
      <w:r>
        <w:rPr>
          <w:rFonts w:hint="eastAsia" w:eastAsia="黑体"/>
          <w:bCs/>
          <w:sz w:val="32"/>
          <w:szCs w:val="32"/>
        </w:rPr>
        <w:t>二、社会成本指标</w:t>
      </w:r>
    </w:p>
    <w:p w14:paraId="34EE95F7">
      <w:pPr>
        <w:spacing w:line="600" w:lineRule="exact"/>
        <w:ind w:firstLine="640" w:firstLineChars="200"/>
        <w:rPr>
          <w:rFonts w:eastAsia="仿宋_GB2312"/>
          <w:sz w:val="32"/>
          <w:szCs w:val="32"/>
        </w:rPr>
      </w:pPr>
      <w:r>
        <w:rPr>
          <w:rFonts w:hint="eastAsia" w:eastAsia="仿宋_GB2312"/>
          <w:sz w:val="32"/>
          <w:szCs w:val="32"/>
        </w:rPr>
        <w:t>反映实施项目对社会发展、公共福利等方面可能造成的负面影响。</w:t>
      </w:r>
    </w:p>
    <w:p w14:paraId="4D4CB307">
      <w:pPr>
        <w:spacing w:line="600" w:lineRule="exact"/>
        <w:ind w:firstLine="640" w:firstLineChars="200"/>
        <w:rPr>
          <w:rFonts w:eastAsia="仿宋_GB2312"/>
          <w:sz w:val="32"/>
          <w:szCs w:val="32"/>
        </w:rPr>
      </w:pPr>
      <w:r>
        <w:rPr>
          <w:rFonts w:hint="eastAsia" w:eastAsia="仿宋_GB2312"/>
          <w:sz w:val="32"/>
          <w:szCs w:val="32"/>
        </w:rPr>
        <w:t>【案例5】以大型工程基建项目为例：</w:t>
      </w:r>
    </w:p>
    <w:p w14:paraId="503E262E">
      <w:pPr>
        <w:spacing w:line="600" w:lineRule="exact"/>
        <w:ind w:firstLine="640" w:firstLineChars="200"/>
        <w:rPr>
          <w:rFonts w:eastAsia="仿宋_GB2312"/>
          <w:sz w:val="32"/>
          <w:szCs w:val="32"/>
        </w:rPr>
      </w:pPr>
      <w:r>
        <w:rPr>
          <w:rFonts w:hint="eastAsia" w:eastAsia="仿宋_GB2312"/>
          <w:sz w:val="32"/>
          <w:szCs w:val="32"/>
        </w:rPr>
        <w:t>项目建设可能涉及到移民搬迁、房屋拆迁、农田迁占等情况，对当地原有居民生活可能会带来一定的负面影响，可设置“需搬迁居民人数”“周边交通管制天数”等指标，标杆值可据实设置。</w:t>
      </w:r>
    </w:p>
    <w:p w14:paraId="6FCC2312">
      <w:pPr>
        <w:spacing w:line="600" w:lineRule="exact"/>
        <w:ind w:firstLine="640" w:firstLineChars="200"/>
        <w:rPr>
          <w:rFonts w:eastAsia="黑体"/>
          <w:bCs/>
          <w:sz w:val="32"/>
          <w:szCs w:val="32"/>
        </w:rPr>
      </w:pPr>
      <w:r>
        <w:rPr>
          <w:rFonts w:hint="eastAsia" w:eastAsia="黑体"/>
          <w:bCs/>
          <w:sz w:val="32"/>
          <w:szCs w:val="32"/>
        </w:rPr>
        <w:t>三、生态环境成本指标</w:t>
      </w:r>
    </w:p>
    <w:p w14:paraId="0483FB6A">
      <w:pPr>
        <w:spacing w:line="600" w:lineRule="exact"/>
        <w:ind w:firstLine="640" w:firstLineChars="200"/>
        <w:rPr>
          <w:rFonts w:eastAsia="仿宋_GB2312"/>
          <w:sz w:val="32"/>
          <w:szCs w:val="32"/>
        </w:rPr>
      </w:pPr>
      <w:r>
        <w:rPr>
          <w:rFonts w:hint="eastAsia" w:eastAsia="仿宋_GB2312"/>
          <w:sz w:val="32"/>
          <w:szCs w:val="32"/>
        </w:rPr>
        <w:t>反映实施项目对自然生态环境可能造成的负面影响。</w:t>
      </w:r>
    </w:p>
    <w:p w14:paraId="5891AFC8">
      <w:pPr>
        <w:spacing w:line="600" w:lineRule="exact"/>
        <w:ind w:firstLine="640" w:firstLineChars="200"/>
        <w:rPr>
          <w:rFonts w:eastAsia="仿宋_GB2312"/>
          <w:sz w:val="32"/>
          <w:szCs w:val="32"/>
        </w:rPr>
      </w:pPr>
      <w:r>
        <w:rPr>
          <w:rFonts w:hint="eastAsia" w:eastAsia="仿宋_GB2312"/>
          <w:sz w:val="32"/>
          <w:szCs w:val="32"/>
        </w:rPr>
        <w:t>【案例6】以产业补贴项目为例：</w:t>
      </w:r>
    </w:p>
    <w:p w14:paraId="1E4A260C">
      <w:pPr>
        <w:spacing w:line="600" w:lineRule="exact"/>
        <w:ind w:firstLine="640" w:firstLineChars="200"/>
        <w:rPr>
          <w:rFonts w:eastAsia="仿宋_GB2312"/>
          <w:sz w:val="32"/>
          <w:szCs w:val="32"/>
        </w:rPr>
      </w:pPr>
      <w:r>
        <w:rPr>
          <w:rFonts w:hint="eastAsia" w:eastAsia="仿宋_GB2312"/>
          <w:sz w:val="32"/>
          <w:szCs w:val="32"/>
        </w:rPr>
        <w:t>产业补贴可以带动产业发展，但也可能会造成一定程度的环境污染，给当地生态环境带来一定的负面影响，可设置“排放污水吨数”“单位生产总值二氧化碳排放量”等指标，标杆值可据实设置。</w:t>
      </w:r>
    </w:p>
    <w:p w14:paraId="2913264D">
      <w:pPr>
        <w:spacing w:line="600" w:lineRule="exact"/>
        <w:ind w:firstLine="640" w:firstLineChars="200"/>
        <w:rPr>
          <w:rFonts w:eastAsia="仿宋_GB2312"/>
          <w:sz w:val="32"/>
          <w:szCs w:val="32"/>
        </w:rPr>
      </w:pPr>
      <w:r>
        <w:rPr>
          <w:rFonts w:hint="eastAsia" w:eastAsia="仿宋_GB2312"/>
          <w:sz w:val="32"/>
          <w:szCs w:val="32"/>
        </w:rPr>
        <w:t>对于具备条件的社会成本指标和生态成本指标，应尽可能通过科学合理的方法，在予以等量货币化反映的基础上，转列为经济成本指标（如社会成本指标“需搬迁居民人数”，可转列为经济成本指标“居民搬迁成本”；如生态成本指标“排放污水吨数”，可转列为经济成本指标“污水处理成本”，以便于进行成本效益分析。）</w:t>
      </w:r>
    </w:p>
    <w:p w14:paraId="4D6C1C9D">
      <w:pPr>
        <w:spacing w:line="600" w:lineRule="exact"/>
        <w:ind w:firstLine="640" w:firstLineChars="200"/>
        <w:rPr>
          <w:rFonts w:eastAsia="仿宋_GB2312"/>
          <w:sz w:val="32"/>
          <w:szCs w:val="32"/>
        </w:rPr>
      </w:pPr>
    </w:p>
    <w:p w14:paraId="5EFDB76A">
      <w:pPr>
        <w:spacing w:line="600"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sz w:val="32"/>
          <w:szCs w:val="32"/>
        </w:rPr>
        <w:t>注：参考案例及相关数值仅用于阐述指标设置路径。</w:t>
      </w:r>
    </w:p>
    <w:p w14:paraId="65CCE346">
      <w:pPr>
        <w:ind w:firstLine="640" w:firstLineChars="200"/>
        <w:rPr>
          <w:rFonts w:eastAsia="仿宋_GB2312"/>
          <w:color w:val="000000"/>
          <w:kern w:val="0"/>
          <w:sz w:val="32"/>
          <w:szCs w:val="32"/>
        </w:rPr>
      </w:pPr>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1DBC7">
    <w:pPr>
      <w:pStyle w:val="9"/>
      <w:jc w:val="center"/>
    </w:pPr>
    <w:r>
      <w:fldChar w:fldCharType="begin"/>
    </w:r>
    <w:r>
      <w:instrText xml:space="preserve"> PAGE   \* MERGEFORMAT </w:instrText>
    </w:r>
    <w:r>
      <w:fldChar w:fldCharType="separate"/>
    </w:r>
    <w:r>
      <w:rPr>
        <w:lang w:val="zh-CN"/>
      </w:rPr>
      <w:t>22</w:t>
    </w:r>
    <w:r>
      <w:rPr>
        <w:lang w:val="zh-CN"/>
      </w:rPr>
      <w:fldChar w:fldCharType="end"/>
    </w:r>
  </w:p>
  <w:p w14:paraId="483B094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8B2BC">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14:paraId="42936684">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92372">
    <w:pPr>
      <w:pStyle w:val="9"/>
      <w:jc w:val="center"/>
    </w:pPr>
    <w:r>
      <w:fldChar w:fldCharType="begin"/>
    </w:r>
    <w:r>
      <w:instrText xml:space="preserve"> PAGE   \* MERGEFORMAT </w:instrText>
    </w:r>
    <w:r>
      <w:fldChar w:fldCharType="separate"/>
    </w:r>
    <w:r>
      <w:rPr>
        <w:lang w:val="zh-CN"/>
      </w:rPr>
      <w:t>1</w:t>
    </w:r>
    <w:r>
      <w:rPr>
        <w:lang w:val="zh-CN"/>
      </w:rPr>
      <w:fldChar w:fldCharType="end"/>
    </w:r>
  </w:p>
  <w:p w14:paraId="28ACA358">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61A6"/>
    <w:multiLevelType w:val="singleLevel"/>
    <w:tmpl w:val="90F661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D66"/>
    <w:rsid w:val="00015FCE"/>
    <w:rsid w:val="000241EA"/>
    <w:rsid w:val="00040434"/>
    <w:rsid w:val="00052E0F"/>
    <w:rsid w:val="000569BE"/>
    <w:rsid w:val="0006203E"/>
    <w:rsid w:val="0007299F"/>
    <w:rsid w:val="00072F68"/>
    <w:rsid w:val="000731EC"/>
    <w:rsid w:val="00085960"/>
    <w:rsid w:val="00086247"/>
    <w:rsid w:val="000921D2"/>
    <w:rsid w:val="000A72A7"/>
    <w:rsid w:val="000D29A6"/>
    <w:rsid w:val="000D4BF1"/>
    <w:rsid w:val="000D5E21"/>
    <w:rsid w:val="00106ED3"/>
    <w:rsid w:val="00115D29"/>
    <w:rsid w:val="00132E56"/>
    <w:rsid w:val="001331DA"/>
    <w:rsid w:val="00162CB6"/>
    <w:rsid w:val="0016538C"/>
    <w:rsid w:val="001875A6"/>
    <w:rsid w:val="00190495"/>
    <w:rsid w:val="00191474"/>
    <w:rsid w:val="00194C9C"/>
    <w:rsid w:val="001B3450"/>
    <w:rsid w:val="001B6F46"/>
    <w:rsid w:val="001C294B"/>
    <w:rsid w:val="001F7D66"/>
    <w:rsid w:val="0021538F"/>
    <w:rsid w:val="0022799D"/>
    <w:rsid w:val="002533EF"/>
    <w:rsid w:val="0025631D"/>
    <w:rsid w:val="00274CF7"/>
    <w:rsid w:val="00294138"/>
    <w:rsid w:val="002A0677"/>
    <w:rsid w:val="002A0CA3"/>
    <w:rsid w:val="002C5050"/>
    <w:rsid w:val="002D3222"/>
    <w:rsid w:val="002D5090"/>
    <w:rsid w:val="002E6262"/>
    <w:rsid w:val="002E6A66"/>
    <w:rsid w:val="002E6F5C"/>
    <w:rsid w:val="002F0DF7"/>
    <w:rsid w:val="00302396"/>
    <w:rsid w:val="00302AB9"/>
    <w:rsid w:val="003401B7"/>
    <w:rsid w:val="003463E1"/>
    <w:rsid w:val="00351E47"/>
    <w:rsid w:val="00375DBD"/>
    <w:rsid w:val="00397E1B"/>
    <w:rsid w:val="003A02C9"/>
    <w:rsid w:val="003A07BC"/>
    <w:rsid w:val="003B6F14"/>
    <w:rsid w:val="003C242E"/>
    <w:rsid w:val="003C4B6A"/>
    <w:rsid w:val="003E12A0"/>
    <w:rsid w:val="00401D8B"/>
    <w:rsid w:val="00431AC3"/>
    <w:rsid w:val="00435256"/>
    <w:rsid w:val="00436DA3"/>
    <w:rsid w:val="00450603"/>
    <w:rsid w:val="00450E19"/>
    <w:rsid w:val="0046606B"/>
    <w:rsid w:val="004719A3"/>
    <w:rsid w:val="004A0AD3"/>
    <w:rsid w:val="004A35EC"/>
    <w:rsid w:val="004B75C7"/>
    <w:rsid w:val="004D3472"/>
    <w:rsid w:val="004D7C8A"/>
    <w:rsid w:val="004E39D6"/>
    <w:rsid w:val="005312EF"/>
    <w:rsid w:val="00547CC6"/>
    <w:rsid w:val="00550621"/>
    <w:rsid w:val="005674A9"/>
    <w:rsid w:val="00573993"/>
    <w:rsid w:val="00583D2C"/>
    <w:rsid w:val="00584BDB"/>
    <w:rsid w:val="005A3507"/>
    <w:rsid w:val="005B2661"/>
    <w:rsid w:val="005D62DA"/>
    <w:rsid w:val="005F55CC"/>
    <w:rsid w:val="00655616"/>
    <w:rsid w:val="00675914"/>
    <w:rsid w:val="00676FDB"/>
    <w:rsid w:val="00681279"/>
    <w:rsid w:val="006C4F33"/>
    <w:rsid w:val="006E3AD1"/>
    <w:rsid w:val="006E5921"/>
    <w:rsid w:val="00704D50"/>
    <w:rsid w:val="007668FF"/>
    <w:rsid w:val="007715F0"/>
    <w:rsid w:val="007721E1"/>
    <w:rsid w:val="00772AFB"/>
    <w:rsid w:val="00787165"/>
    <w:rsid w:val="00792F70"/>
    <w:rsid w:val="007B01E9"/>
    <w:rsid w:val="007B2D5E"/>
    <w:rsid w:val="007C2072"/>
    <w:rsid w:val="007F0F9C"/>
    <w:rsid w:val="007F21E2"/>
    <w:rsid w:val="00812A29"/>
    <w:rsid w:val="008141C6"/>
    <w:rsid w:val="0082137C"/>
    <w:rsid w:val="008461B5"/>
    <w:rsid w:val="00850057"/>
    <w:rsid w:val="008655F2"/>
    <w:rsid w:val="00867909"/>
    <w:rsid w:val="0087163B"/>
    <w:rsid w:val="00873408"/>
    <w:rsid w:val="00874ECA"/>
    <w:rsid w:val="00895DC7"/>
    <w:rsid w:val="008A6665"/>
    <w:rsid w:val="008B1969"/>
    <w:rsid w:val="008D6CE6"/>
    <w:rsid w:val="008E2084"/>
    <w:rsid w:val="008F032A"/>
    <w:rsid w:val="009052FF"/>
    <w:rsid w:val="00912D5D"/>
    <w:rsid w:val="0092240A"/>
    <w:rsid w:val="00922EF1"/>
    <w:rsid w:val="00934775"/>
    <w:rsid w:val="00960196"/>
    <w:rsid w:val="00960440"/>
    <w:rsid w:val="009748A0"/>
    <w:rsid w:val="00974D28"/>
    <w:rsid w:val="009955C3"/>
    <w:rsid w:val="009C3049"/>
    <w:rsid w:val="009D0B60"/>
    <w:rsid w:val="009D7883"/>
    <w:rsid w:val="009E28B2"/>
    <w:rsid w:val="009F3F89"/>
    <w:rsid w:val="009F4413"/>
    <w:rsid w:val="00A24348"/>
    <w:rsid w:val="00A2529D"/>
    <w:rsid w:val="00A40E01"/>
    <w:rsid w:val="00A42E6E"/>
    <w:rsid w:val="00A461F8"/>
    <w:rsid w:val="00A73A26"/>
    <w:rsid w:val="00A77BD8"/>
    <w:rsid w:val="00A82560"/>
    <w:rsid w:val="00A82BCF"/>
    <w:rsid w:val="00A8361B"/>
    <w:rsid w:val="00A971A0"/>
    <w:rsid w:val="00AC224A"/>
    <w:rsid w:val="00AF7E07"/>
    <w:rsid w:val="00B10053"/>
    <w:rsid w:val="00B251CE"/>
    <w:rsid w:val="00B25667"/>
    <w:rsid w:val="00B53E68"/>
    <w:rsid w:val="00B6358C"/>
    <w:rsid w:val="00B649E6"/>
    <w:rsid w:val="00B9552B"/>
    <w:rsid w:val="00B97229"/>
    <w:rsid w:val="00BB7236"/>
    <w:rsid w:val="00BD5051"/>
    <w:rsid w:val="00BE667A"/>
    <w:rsid w:val="00C276A1"/>
    <w:rsid w:val="00C3031F"/>
    <w:rsid w:val="00C40B2E"/>
    <w:rsid w:val="00C66C17"/>
    <w:rsid w:val="00C7267A"/>
    <w:rsid w:val="00C73C21"/>
    <w:rsid w:val="00C77D3D"/>
    <w:rsid w:val="00C97203"/>
    <w:rsid w:val="00C97DF1"/>
    <w:rsid w:val="00CB21FD"/>
    <w:rsid w:val="00CC1485"/>
    <w:rsid w:val="00CC4D04"/>
    <w:rsid w:val="00CC6BE7"/>
    <w:rsid w:val="00CD6C22"/>
    <w:rsid w:val="00CE7686"/>
    <w:rsid w:val="00D01818"/>
    <w:rsid w:val="00D04B99"/>
    <w:rsid w:val="00D12B59"/>
    <w:rsid w:val="00D2299B"/>
    <w:rsid w:val="00D33EE4"/>
    <w:rsid w:val="00D535DE"/>
    <w:rsid w:val="00D5480B"/>
    <w:rsid w:val="00D56126"/>
    <w:rsid w:val="00D77E2F"/>
    <w:rsid w:val="00D954FE"/>
    <w:rsid w:val="00DA0437"/>
    <w:rsid w:val="00DB3F23"/>
    <w:rsid w:val="00DE4591"/>
    <w:rsid w:val="00E5464A"/>
    <w:rsid w:val="00E77704"/>
    <w:rsid w:val="00E8252F"/>
    <w:rsid w:val="00E84DB5"/>
    <w:rsid w:val="00EA26DA"/>
    <w:rsid w:val="00EC5EE3"/>
    <w:rsid w:val="00EE1655"/>
    <w:rsid w:val="00EE3A4E"/>
    <w:rsid w:val="00F10830"/>
    <w:rsid w:val="00F60888"/>
    <w:rsid w:val="00F60DD0"/>
    <w:rsid w:val="00F81D66"/>
    <w:rsid w:val="00F84548"/>
    <w:rsid w:val="00F87B09"/>
    <w:rsid w:val="00FB10E8"/>
    <w:rsid w:val="00FB3B23"/>
    <w:rsid w:val="00FC42AC"/>
    <w:rsid w:val="00FD502C"/>
    <w:rsid w:val="00FD7B4F"/>
    <w:rsid w:val="00FE2BD1"/>
    <w:rsid w:val="00FF4850"/>
    <w:rsid w:val="00FF7615"/>
    <w:rsid w:val="01EE5235"/>
    <w:rsid w:val="0E67EFA3"/>
    <w:rsid w:val="0F35EA7F"/>
    <w:rsid w:val="12EB5B1B"/>
    <w:rsid w:val="14FB669B"/>
    <w:rsid w:val="1BB79389"/>
    <w:rsid w:val="1BBF44D9"/>
    <w:rsid w:val="1BFE458B"/>
    <w:rsid w:val="1BFF1A9D"/>
    <w:rsid w:val="1D7A6D30"/>
    <w:rsid w:val="1D7F1762"/>
    <w:rsid w:val="1E1A2457"/>
    <w:rsid w:val="1F2714E3"/>
    <w:rsid w:val="1F75EA65"/>
    <w:rsid w:val="1FAF66F4"/>
    <w:rsid w:val="1FF308E9"/>
    <w:rsid w:val="1FFBDD53"/>
    <w:rsid w:val="235F438E"/>
    <w:rsid w:val="28FFCF64"/>
    <w:rsid w:val="29F3643B"/>
    <w:rsid w:val="2BFDEFA8"/>
    <w:rsid w:val="2D5D0A71"/>
    <w:rsid w:val="2E37EC7D"/>
    <w:rsid w:val="2F5D7771"/>
    <w:rsid w:val="2FAC78D7"/>
    <w:rsid w:val="2FFBD243"/>
    <w:rsid w:val="31E79E8A"/>
    <w:rsid w:val="32DFC861"/>
    <w:rsid w:val="32F7AA3E"/>
    <w:rsid w:val="36D60117"/>
    <w:rsid w:val="36FE6611"/>
    <w:rsid w:val="372F0599"/>
    <w:rsid w:val="3797C1B6"/>
    <w:rsid w:val="37DDD3C9"/>
    <w:rsid w:val="37FF4C36"/>
    <w:rsid w:val="395F3E05"/>
    <w:rsid w:val="3A7D4BAE"/>
    <w:rsid w:val="3BFFAFB6"/>
    <w:rsid w:val="3CB7F40D"/>
    <w:rsid w:val="3D3739FC"/>
    <w:rsid w:val="3D3F592D"/>
    <w:rsid w:val="3DEDD3EA"/>
    <w:rsid w:val="3DFFC76A"/>
    <w:rsid w:val="3DFFDCD1"/>
    <w:rsid w:val="3EF359C4"/>
    <w:rsid w:val="3EF79669"/>
    <w:rsid w:val="3F5FE826"/>
    <w:rsid w:val="3F8F58AF"/>
    <w:rsid w:val="3FEEE69B"/>
    <w:rsid w:val="3FF50685"/>
    <w:rsid w:val="3FFEFFF8"/>
    <w:rsid w:val="406EFD11"/>
    <w:rsid w:val="437B6009"/>
    <w:rsid w:val="43AD4BE8"/>
    <w:rsid w:val="44782467"/>
    <w:rsid w:val="4A8D605D"/>
    <w:rsid w:val="4BD32518"/>
    <w:rsid w:val="4BFC1CC7"/>
    <w:rsid w:val="4EBFB53A"/>
    <w:rsid w:val="4F9E3DB1"/>
    <w:rsid w:val="4FD89527"/>
    <w:rsid w:val="4FEFC85A"/>
    <w:rsid w:val="4FFF6DB9"/>
    <w:rsid w:val="536AA09B"/>
    <w:rsid w:val="55F7C384"/>
    <w:rsid w:val="57BFBFB2"/>
    <w:rsid w:val="57FE95A5"/>
    <w:rsid w:val="59DF7BEE"/>
    <w:rsid w:val="5ADEF696"/>
    <w:rsid w:val="5AE02B3F"/>
    <w:rsid w:val="5B7F71DF"/>
    <w:rsid w:val="5B9D7293"/>
    <w:rsid w:val="5BB3B695"/>
    <w:rsid w:val="5BBF5CD1"/>
    <w:rsid w:val="5BD939FF"/>
    <w:rsid w:val="5CEE4945"/>
    <w:rsid w:val="5D2355DB"/>
    <w:rsid w:val="5DB95799"/>
    <w:rsid w:val="5DD64B21"/>
    <w:rsid w:val="5DFF5FD9"/>
    <w:rsid w:val="5E774FE7"/>
    <w:rsid w:val="5ED348E0"/>
    <w:rsid w:val="5EFF3A56"/>
    <w:rsid w:val="5F37B1DF"/>
    <w:rsid w:val="5F5FEE8D"/>
    <w:rsid w:val="5F6FEFFC"/>
    <w:rsid w:val="5F7A67D2"/>
    <w:rsid w:val="5FB35E34"/>
    <w:rsid w:val="5FBFD961"/>
    <w:rsid w:val="5FD7CE50"/>
    <w:rsid w:val="5FEFD7F7"/>
    <w:rsid w:val="5FFF304E"/>
    <w:rsid w:val="5FFFD37A"/>
    <w:rsid w:val="61388255"/>
    <w:rsid w:val="61760229"/>
    <w:rsid w:val="61F7EC46"/>
    <w:rsid w:val="65FEC360"/>
    <w:rsid w:val="66FBF0C3"/>
    <w:rsid w:val="679F4A8B"/>
    <w:rsid w:val="67F7E087"/>
    <w:rsid w:val="6AF777DE"/>
    <w:rsid w:val="6B354062"/>
    <w:rsid w:val="6B7D6E22"/>
    <w:rsid w:val="6BBFDE4B"/>
    <w:rsid w:val="6C7D3275"/>
    <w:rsid w:val="6CDB34FC"/>
    <w:rsid w:val="6DCB3F7F"/>
    <w:rsid w:val="6DED6979"/>
    <w:rsid w:val="6DF361CC"/>
    <w:rsid w:val="6DFF6C1D"/>
    <w:rsid w:val="6DFF8045"/>
    <w:rsid w:val="6E3FC98F"/>
    <w:rsid w:val="6EDF80F0"/>
    <w:rsid w:val="6EE751A8"/>
    <w:rsid w:val="6EFDC531"/>
    <w:rsid w:val="6EFFD91F"/>
    <w:rsid w:val="6F2F4646"/>
    <w:rsid w:val="6F3E5679"/>
    <w:rsid w:val="6F3EE358"/>
    <w:rsid w:val="6F47ECD8"/>
    <w:rsid w:val="6F6FDDF7"/>
    <w:rsid w:val="6F9F725F"/>
    <w:rsid w:val="6FBDE889"/>
    <w:rsid w:val="6FD94D4E"/>
    <w:rsid w:val="6FE67753"/>
    <w:rsid w:val="6FF76042"/>
    <w:rsid w:val="6FFF94B0"/>
    <w:rsid w:val="6FFFB7F0"/>
    <w:rsid w:val="6FFFE7AE"/>
    <w:rsid w:val="6FFFFB8B"/>
    <w:rsid w:val="724DC545"/>
    <w:rsid w:val="727C7A3C"/>
    <w:rsid w:val="72EEA0B0"/>
    <w:rsid w:val="736F9EC2"/>
    <w:rsid w:val="73BBF38A"/>
    <w:rsid w:val="73BD84D5"/>
    <w:rsid w:val="771EDCE1"/>
    <w:rsid w:val="776F12C8"/>
    <w:rsid w:val="7777E299"/>
    <w:rsid w:val="777D65C4"/>
    <w:rsid w:val="777F9E30"/>
    <w:rsid w:val="77AE37B3"/>
    <w:rsid w:val="77BF13AA"/>
    <w:rsid w:val="77BF44AC"/>
    <w:rsid w:val="77BF82BC"/>
    <w:rsid w:val="77DBBFC8"/>
    <w:rsid w:val="77DF6AF2"/>
    <w:rsid w:val="77E5B7E5"/>
    <w:rsid w:val="77E7D159"/>
    <w:rsid w:val="77FA097D"/>
    <w:rsid w:val="78DEF04F"/>
    <w:rsid w:val="79BFAFCC"/>
    <w:rsid w:val="7A2B9700"/>
    <w:rsid w:val="7ABBE960"/>
    <w:rsid w:val="7ADFC53E"/>
    <w:rsid w:val="7AF74506"/>
    <w:rsid w:val="7AFEC7B8"/>
    <w:rsid w:val="7B3FE0FB"/>
    <w:rsid w:val="7B6F8ED8"/>
    <w:rsid w:val="7B7EE89C"/>
    <w:rsid w:val="7B7F11EC"/>
    <w:rsid w:val="7B9FBE1A"/>
    <w:rsid w:val="7BBF21F3"/>
    <w:rsid w:val="7BDDE799"/>
    <w:rsid w:val="7BEC4056"/>
    <w:rsid w:val="7BF1290C"/>
    <w:rsid w:val="7BF5F699"/>
    <w:rsid w:val="7BF7E78F"/>
    <w:rsid w:val="7BFDE2BD"/>
    <w:rsid w:val="7BFF9B08"/>
    <w:rsid w:val="7BFFC11E"/>
    <w:rsid w:val="7CE75604"/>
    <w:rsid w:val="7CFFAD37"/>
    <w:rsid w:val="7D3FF163"/>
    <w:rsid w:val="7D5FF7C4"/>
    <w:rsid w:val="7D7F683B"/>
    <w:rsid w:val="7DAFD3FC"/>
    <w:rsid w:val="7DBB6A74"/>
    <w:rsid w:val="7DDB55AC"/>
    <w:rsid w:val="7DDF4B33"/>
    <w:rsid w:val="7DEF174F"/>
    <w:rsid w:val="7DF73C99"/>
    <w:rsid w:val="7DFF1AB9"/>
    <w:rsid w:val="7DFF5774"/>
    <w:rsid w:val="7E3F2CF4"/>
    <w:rsid w:val="7E5E0AAD"/>
    <w:rsid w:val="7E7A05E9"/>
    <w:rsid w:val="7E7F9DEB"/>
    <w:rsid w:val="7EA5132A"/>
    <w:rsid w:val="7EBE4CE4"/>
    <w:rsid w:val="7EDE9B4A"/>
    <w:rsid w:val="7EF713D5"/>
    <w:rsid w:val="7EFBDEBD"/>
    <w:rsid w:val="7EFF0084"/>
    <w:rsid w:val="7EFF69D0"/>
    <w:rsid w:val="7EFFB3DE"/>
    <w:rsid w:val="7F1F9508"/>
    <w:rsid w:val="7F238CBC"/>
    <w:rsid w:val="7F2B0DCB"/>
    <w:rsid w:val="7F4E578B"/>
    <w:rsid w:val="7F7B61BF"/>
    <w:rsid w:val="7F7F2BA9"/>
    <w:rsid w:val="7F836B70"/>
    <w:rsid w:val="7FD62890"/>
    <w:rsid w:val="7FDBE07B"/>
    <w:rsid w:val="7FDF3494"/>
    <w:rsid w:val="7FDF4C50"/>
    <w:rsid w:val="7FE3C533"/>
    <w:rsid w:val="7FEFF3A1"/>
    <w:rsid w:val="7FF39F0C"/>
    <w:rsid w:val="7FF58EF7"/>
    <w:rsid w:val="7FF6BFDD"/>
    <w:rsid w:val="7FF7A6D2"/>
    <w:rsid w:val="7FF918BE"/>
    <w:rsid w:val="7FF97604"/>
    <w:rsid w:val="7FFB2850"/>
    <w:rsid w:val="7FFB67A5"/>
    <w:rsid w:val="7FFB7330"/>
    <w:rsid w:val="7FFCEF29"/>
    <w:rsid w:val="7FFE7994"/>
    <w:rsid w:val="7FFF4894"/>
    <w:rsid w:val="7FFF5824"/>
    <w:rsid w:val="7FFF95BB"/>
    <w:rsid w:val="8F3DBE15"/>
    <w:rsid w:val="95BF2A71"/>
    <w:rsid w:val="976B2E53"/>
    <w:rsid w:val="99BF5482"/>
    <w:rsid w:val="9C39E9A8"/>
    <w:rsid w:val="9CDB9C8D"/>
    <w:rsid w:val="9DDEFC13"/>
    <w:rsid w:val="9EF7579B"/>
    <w:rsid w:val="9EFFB214"/>
    <w:rsid w:val="9F8AF7A6"/>
    <w:rsid w:val="9FBF2D45"/>
    <w:rsid w:val="9FFEF2C2"/>
    <w:rsid w:val="9FFF5833"/>
    <w:rsid w:val="A3FDC878"/>
    <w:rsid w:val="A6DF1FAB"/>
    <w:rsid w:val="A6FF6566"/>
    <w:rsid w:val="A74E4265"/>
    <w:rsid w:val="A9FFABD9"/>
    <w:rsid w:val="AAFC5826"/>
    <w:rsid w:val="AB731145"/>
    <w:rsid w:val="ABFA0ECE"/>
    <w:rsid w:val="ABFFDDF1"/>
    <w:rsid w:val="ACBB729B"/>
    <w:rsid w:val="AD764A7C"/>
    <w:rsid w:val="ADBD64F7"/>
    <w:rsid w:val="ADFBB890"/>
    <w:rsid w:val="AFE6F0B4"/>
    <w:rsid w:val="AFE7EFA1"/>
    <w:rsid w:val="AFF6DBFF"/>
    <w:rsid w:val="AFFEFBC0"/>
    <w:rsid w:val="B34EEABB"/>
    <w:rsid w:val="B3FFC4C0"/>
    <w:rsid w:val="B5EBB350"/>
    <w:rsid w:val="B5F69B73"/>
    <w:rsid w:val="B773C431"/>
    <w:rsid w:val="B7E5F35E"/>
    <w:rsid w:val="B7F5A6FF"/>
    <w:rsid w:val="B9B793B2"/>
    <w:rsid w:val="BA7B23C6"/>
    <w:rsid w:val="BB7BD639"/>
    <w:rsid w:val="BB894DA0"/>
    <w:rsid w:val="BBBD46E1"/>
    <w:rsid w:val="BBDBDAE5"/>
    <w:rsid w:val="BDC701CE"/>
    <w:rsid w:val="BDED911D"/>
    <w:rsid w:val="BE6F456F"/>
    <w:rsid w:val="BE751435"/>
    <w:rsid w:val="BEFA4459"/>
    <w:rsid w:val="BEFE9277"/>
    <w:rsid w:val="BF2FF3C5"/>
    <w:rsid w:val="BF734FF9"/>
    <w:rsid w:val="BF7E4521"/>
    <w:rsid w:val="BF7EE313"/>
    <w:rsid w:val="BF7FBDB0"/>
    <w:rsid w:val="BFBEB1E9"/>
    <w:rsid w:val="BFCB2781"/>
    <w:rsid w:val="BFDD5381"/>
    <w:rsid w:val="BFDF7524"/>
    <w:rsid w:val="BFEEE18A"/>
    <w:rsid w:val="C7ED9C05"/>
    <w:rsid w:val="C7ED9E18"/>
    <w:rsid w:val="C7EE9419"/>
    <w:rsid w:val="CCFBCBFC"/>
    <w:rsid w:val="CDEFF9FD"/>
    <w:rsid w:val="CFDDE4EE"/>
    <w:rsid w:val="CFE322D6"/>
    <w:rsid w:val="CFE9E73F"/>
    <w:rsid w:val="D3DC6A82"/>
    <w:rsid w:val="D4A7FFDC"/>
    <w:rsid w:val="D5BFC811"/>
    <w:rsid w:val="D7B794EE"/>
    <w:rsid w:val="D7CF134E"/>
    <w:rsid w:val="D7FD7C6F"/>
    <w:rsid w:val="D967E9BA"/>
    <w:rsid w:val="D9FA7CDE"/>
    <w:rsid w:val="DAFF6AB0"/>
    <w:rsid w:val="DBB72088"/>
    <w:rsid w:val="DBB7CC3E"/>
    <w:rsid w:val="DBFC391E"/>
    <w:rsid w:val="DC672D7F"/>
    <w:rsid w:val="DD5FD25A"/>
    <w:rsid w:val="DDB7918B"/>
    <w:rsid w:val="DDDA03F6"/>
    <w:rsid w:val="DDFE3C3E"/>
    <w:rsid w:val="DE7FE365"/>
    <w:rsid w:val="DEF9104D"/>
    <w:rsid w:val="DF73AE98"/>
    <w:rsid w:val="DF962A23"/>
    <w:rsid w:val="DFCE097B"/>
    <w:rsid w:val="DFEF5E0F"/>
    <w:rsid w:val="DFF3130F"/>
    <w:rsid w:val="DFFA4107"/>
    <w:rsid w:val="E63FCBBD"/>
    <w:rsid w:val="E6EF2E77"/>
    <w:rsid w:val="E6F56428"/>
    <w:rsid w:val="E6FF9969"/>
    <w:rsid w:val="E7CF610C"/>
    <w:rsid w:val="E8766BCD"/>
    <w:rsid w:val="E97F089A"/>
    <w:rsid w:val="EA5FE52A"/>
    <w:rsid w:val="EAFDC9B8"/>
    <w:rsid w:val="EAFFA0F7"/>
    <w:rsid w:val="EB7E0AE8"/>
    <w:rsid w:val="EBFF0058"/>
    <w:rsid w:val="EBFF87E1"/>
    <w:rsid w:val="EBFFB49A"/>
    <w:rsid w:val="EC6FC5AA"/>
    <w:rsid w:val="ED7DAD17"/>
    <w:rsid w:val="EDD6D1EA"/>
    <w:rsid w:val="EDDF13DB"/>
    <w:rsid w:val="EDFF97B7"/>
    <w:rsid w:val="EEBFA5D4"/>
    <w:rsid w:val="EFA28671"/>
    <w:rsid w:val="EFAF2A17"/>
    <w:rsid w:val="EFBE9BED"/>
    <w:rsid w:val="EFBFD61E"/>
    <w:rsid w:val="EFDD89C6"/>
    <w:rsid w:val="EFEF6975"/>
    <w:rsid w:val="EFF52C6D"/>
    <w:rsid w:val="EFFDB8C6"/>
    <w:rsid w:val="F33FC4F4"/>
    <w:rsid w:val="F39FB547"/>
    <w:rsid w:val="F519C358"/>
    <w:rsid w:val="F59792F9"/>
    <w:rsid w:val="F5A5D53F"/>
    <w:rsid w:val="F5BF9FB9"/>
    <w:rsid w:val="F5DF9DC6"/>
    <w:rsid w:val="F5FF227A"/>
    <w:rsid w:val="F5FFD43F"/>
    <w:rsid w:val="F6F32FE8"/>
    <w:rsid w:val="F755386F"/>
    <w:rsid w:val="F7761D93"/>
    <w:rsid w:val="F7782BCA"/>
    <w:rsid w:val="F7793D46"/>
    <w:rsid w:val="F79BB93E"/>
    <w:rsid w:val="F7B73D01"/>
    <w:rsid w:val="F7E7114C"/>
    <w:rsid w:val="F7FFBD66"/>
    <w:rsid w:val="F8453030"/>
    <w:rsid w:val="F9351A95"/>
    <w:rsid w:val="F97FA123"/>
    <w:rsid w:val="F9F35B60"/>
    <w:rsid w:val="F9FB089C"/>
    <w:rsid w:val="FA6B9A42"/>
    <w:rsid w:val="FAFFFF54"/>
    <w:rsid w:val="FB2DAAB9"/>
    <w:rsid w:val="FB339849"/>
    <w:rsid w:val="FB5F9C08"/>
    <w:rsid w:val="FB72D27E"/>
    <w:rsid w:val="FB9AF19D"/>
    <w:rsid w:val="FBAA2532"/>
    <w:rsid w:val="FBE760E0"/>
    <w:rsid w:val="FBF524CD"/>
    <w:rsid w:val="FBFFC846"/>
    <w:rsid w:val="FCADC4CD"/>
    <w:rsid w:val="FCBB9BC1"/>
    <w:rsid w:val="FCDDED8B"/>
    <w:rsid w:val="FD5FDE70"/>
    <w:rsid w:val="FD7DD3AB"/>
    <w:rsid w:val="FD9347B9"/>
    <w:rsid w:val="FDBED90A"/>
    <w:rsid w:val="FDD77C40"/>
    <w:rsid w:val="FDDC3448"/>
    <w:rsid w:val="FDF767D4"/>
    <w:rsid w:val="FDFDCC94"/>
    <w:rsid w:val="FDFDD7F4"/>
    <w:rsid w:val="FE338387"/>
    <w:rsid w:val="FE734873"/>
    <w:rsid w:val="FE77763D"/>
    <w:rsid w:val="FE7DA4B1"/>
    <w:rsid w:val="FE7E87D0"/>
    <w:rsid w:val="FEB655E2"/>
    <w:rsid w:val="FEBF9DA0"/>
    <w:rsid w:val="FECE5C53"/>
    <w:rsid w:val="FEDB3862"/>
    <w:rsid w:val="FEDD8742"/>
    <w:rsid w:val="FEE13810"/>
    <w:rsid w:val="FEEB74A7"/>
    <w:rsid w:val="FEFBA91B"/>
    <w:rsid w:val="FEFBB287"/>
    <w:rsid w:val="FEFBCA39"/>
    <w:rsid w:val="FEFE4117"/>
    <w:rsid w:val="FF357A0B"/>
    <w:rsid w:val="FF397A8D"/>
    <w:rsid w:val="FF5769E2"/>
    <w:rsid w:val="FF5F640B"/>
    <w:rsid w:val="FF69AFB2"/>
    <w:rsid w:val="FF721F83"/>
    <w:rsid w:val="FF72EC1A"/>
    <w:rsid w:val="FF7B19CD"/>
    <w:rsid w:val="FF7D5734"/>
    <w:rsid w:val="FF7D5DD9"/>
    <w:rsid w:val="FF7F7686"/>
    <w:rsid w:val="FF7F8682"/>
    <w:rsid w:val="FF7FDCC7"/>
    <w:rsid w:val="FFBD40F8"/>
    <w:rsid w:val="FFBD4A72"/>
    <w:rsid w:val="FFBF92DC"/>
    <w:rsid w:val="FFC662C0"/>
    <w:rsid w:val="FFCFE725"/>
    <w:rsid w:val="FFD6B7B2"/>
    <w:rsid w:val="FFD7C9E1"/>
    <w:rsid w:val="FFDDF456"/>
    <w:rsid w:val="FFDF593A"/>
    <w:rsid w:val="FFE33148"/>
    <w:rsid w:val="FFED6A19"/>
    <w:rsid w:val="FFEECD94"/>
    <w:rsid w:val="FFF97D02"/>
    <w:rsid w:val="FFFACE0C"/>
    <w:rsid w:val="FFFCD1B9"/>
    <w:rsid w:val="FFFDCAE1"/>
    <w:rsid w:val="FFFF1153"/>
    <w:rsid w:val="FFFF9C4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line="413" w:lineRule="auto"/>
      <w:outlineLvl w:val="2"/>
    </w:pPr>
    <w:rPr>
      <w:b/>
      <w:sz w:val="32"/>
    </w:rPr>
  </w:style>
  <w:style w:type="paragraph" w:styleId="5">
    <w:name w:val="heading 4"/>
    <w:basedOn w:val="1"/>
    <w:next w:val="1"/>
    <w:unhideWhenUsed/>
    <w:qFormat/>
    <w:uiPriority w:val="0"/>
    <w:pPr>
      <w:keepNext/>
      <w:keepLines/>
      <w:spacing w:line="372" w:lineRule="auto"/>
      <w:outlineLvl w:val="3"/>
    </w:pPr>
    <w:rPr>
      <w:rFonts w:ascii="Arial" w:hAnsi="Arial" w:eastAsia="黑体"/>
      <w:b/>
      <w:sz w:val="28"/>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18"/>
    <w:qFormat/>
    <w:uiPriority w:val="0"/>
    <w:rPr>
      <w:rFonts w:ascii="宋体"/>
      <w:sz w:val="18"/>
      <w:szCs w:val="18"/>
    </w:rPr>
  </w:style>
  <w:style w:type="paragraph" w:styleId="7">
    <w:name w:val="Body Text Indent"/>
    <w:basedOn w:val="1"/>
    <w:next w:val="1"/>
    <w:qFormat/>
    <w:uiPriority w:val="0"/>
    <w:pPr>
      <w:spacing w:after="120"/>
      <w:ind w:left="420" w:leftChars="200"/>
    </w:pPr>
  </w:style>
  <w:style w:type="paragraph" w:styleId="8">
    <w:name w:val="Balloon Text"/>
    <w:basedOn w:val="1"/>
    <w:link w:val="19"/>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1"/>
    <w:unhideWhenUsed/>
    <w:qFormat/>
    <w:uiPriority w:val="99"/>
    <w:pPr>
      <w:snapToGrid w:val="0"/>
      <w:jc w:val="left"/>
    </w:pPr>
    <w:rPr>
      <w:rFonts w:eastAsia="仿宋_GB2312"/>
      <w:sz w:val="18"/>
      <w:szCs w:val="18"/>
    </w:rPr>
  </w:style>
  <w:style w:type="paragraph" w:styleId="12">
    <w:name w:val="Body Text 2"/>
    <w:basedOn w:val="1"/>
    <w:next w:val="13"/>
    <w:qFormat/>
    <w:uiPriority w:val="0"/>
    <w:pPr>
      <w:ind w:firstLine="1840"/>
    </w:pPr>
  </w:style>
  <w:style w:type="paragraph" w:styleId="13">
    <w:name w:val="Body Text First Indent 2"/>
    <w:basedOn w:val="7"/>
    <w:qFormat/>
    <w:uiPriority w:val="0"/>
    <w:pPr>
      <w:ind w:firstLine="420"/>
    </w:pPr>
  </w:style>
  <w:style w:type="character" w:styleId="16">
    <w:name w:val="page number"/>
    <w:qFormat/>
    <w:uiPriority w:val="0"/>
  </w:style>
  <w:style w:type="character" w:styleId="17">
    <w:name w:val="footnote reference"/>
    <w:unhideWhenUsed/>
    <w:qFormat/>
    <w:uiPriority w:val="99"/>
    <w:rPr>
      <w:vertAlign w:val="superscript"/>
    </w:rPr>
  </w:style>
  <w:style w:type="character" w:customStyle="1" w:styleId="18">
    <w:name w:val="文档结构图 Char"/>
    <w:link w:val="6"/>
    <w:qFormat/>
    <w:uiPriority w:val="0"/>
    <w:rPr>
      <w:rFonts w:ascii="宋体"/>
      <w:kern w:val="2"/>
      <w:sz w:val="18"/>
      <w:szCs w:val="18"/>
    </w:rPr>
  </w:style>
  <w:style w:type="character" w:customStyle="1" w:styleId="19">
    <w:name w:val="批注框文本 Char"/>
    <w:link w:val="8"/>
    <w:qFormat/>
    <w:uiPriority w:val="0"/>
    <w:rPr>
      <w:kern w:val="2"/>
      <w:sz w:val="18"/>
      <w:szCs w:val="18"/>
    </w:rPr>
  </w:style>
  <w:style w:type="character" w:customStyle="1" w:styleId="20">
    <w:name w:val="页脚 Char"/>
    <w:link w:val="9"/>
    <w:qFormat/>
    <w:uiPriority w:val="99"/>
    <w:rPr>
      <w:kern w:val="2"/>
      <w:sz w:val="18"/>
      <w:szCs w:val="18"/>
    </w:rPr>
  </w:style>
  <w:style w:type="character" w:customStyle="1" w:styleId="21">
    <w:name w:val="脚注文本 Char"/>
    <w:link w:val="11"/>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20</Pages>
  <Words>9661</Words>
  <Characters>9981</Characters>
  <Lines>74</Lines>
  <Paragraphs>21</Paragraphs>
  <TotalTime>114</TotalTime>
  <ScaleCrop>false</ScaleCrop>
  <LinksUpToDate>false</LinksUpToDate>
  <CharactersWithSpaces>10015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2024-10-17T16:38:00Z</dcterms:created>
  <dc:creator>Lenovo User</dc:creator>
  <cp:lastModifiedBy>陈小颖</cp:lastModifiedBy>
  <cp:lastPrinted>2024-10-17T16:38:00Z</cp:lastPrinted>
  <dcterms:modified xsi:type="dcterms:W3CDTF">2025-04-22T03:24:28Z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5BCFF55C1A7F41F98C71DC727981874A_13</vt:lpwstr>
  </property>
</Properties>
</file>