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156" w:beforeLines="50" w:after="156" w:afterLines="50"/>
        <w:rPr>
          <w:rFonts w:ascii="仿宋_GB2312" w:hAnsi="仿宋_GB2312" w:eastAsia="仿宋_GB2312" w:cs="仿宋_GB2312"/>
          <w:color w:val="000000"/>
          <w:kern w:val="0"/>
          <w:sz w:val="28"/>
          <w:szCs w:val="28"/>
          <w:lang w:bidi="ar"/>
        </w:rPr>
      </w:pPr>
    </w:p>
    <w:p>
      <w:pPr>
        <w:spacing w:line="900" w:lineRule="exact"/>
        <w:jc w:val="center"/>
        <w:rPr>
          <w:rFonts w:hint="eastAsia" w:hAnsi="华文中宋" w:eastAsia="华文中宋"/>
          <w:b/>
          <w:bCs/>
          <w:color w:val="000000"/>
          <w:sz w:val="52"/>
          <w:szCs w:val="52"/>
        </w:rPr>
      </w:pPr>
      <w:r>
        <w:rPr>
          <w:rFonts w:hint="eastAsia" w:hAnsi="华文中宋" w:eastAsia="华文中宋"/>
          <w:b/>
          <w:bCs/>
          <w:color w:val="000000"/>
          <w:sz w:val="52"/>
          <w:szCs w:val="52"/>
        </w:rPr>
        <w:t>上海高校学位点培优培育专项计划</w:t>
      </w:r>
      <w:bookmarkStart w:id="0" w:name="附件1申报文本"/>
    </w:p>
    <w:p>
      <w:pPr>
        <w:spacing w:line="900" w:lineRule="exact"/>
        <w:jc w:val="center"/>
        <w:rPr>
          <w:rFonts w:hAnsi="华文中宋" w:eastAsia="华文中宋"/>
          <w:b/>
          <w:bCs/>
          <w:color w:val="000000"/>
          <w:sz w:val="52"/>
          <w:szCs w:val="52"/>
        </w:rPr>
      </w:pPr>
      <w:r>
        <w:rPr>
          <w:rFonts w:hint="eastAsia" w:hAnsi="华文中宋" w:eastAsia="华文中宋"/>
          <w:b/>
          <w:bCs/>
          <w:color w:val="000000"/>
          <w:sz w:val="52"/>
          <w:szCs w:val="52"/>
        </w:rPr>
        <w:t>项 目 建 设 方 案</w:t>
      </w:r>
    </w:p>
    <w:bookmarkEnd w:id="0"/>
    <w:p>
      <w:pPr>
        <w:jc w:val="center"/>
        <w:rPr>
          <w:b/>
          <w:color w:val="000000"/>
          <w:sz w:val="30"/>
          <w:szCs w:val="30"/>
        </w:rPr>
      </w:pPr>
    </w:p>
    <w:p>
      <w:pPr>
        <w:jc w:val="center"/>
        <w:outlineLvl w:val="0"/>
        <w:rPr>
          <w:rFonts w:hint="eastAsia" w:ascii="方正小标宋简体" w:hAnsi="方正小标宋简体" w:eastAsia="方正小标宋简体" w:cs="方正小标宋简体"/>
          <w:b/>
          <w:color w:val="000000"/>
          <w:sz w:val="32"/>
          <w:szCs w:val="32"/>
        </w:rPr>
      </w:pPr>
      <w:r>
        <w:rPr>
          <w:rFonts w:hint="eastAsia" w:ascii="方正小标宋简体" w:hAnsi="方正小标宋简体" w:eastAsia="方正小标宋简体" w:cs="方正小标宋简体"/>
          <w:b/>
          <w:color w:val="000000"/>
          <w:sz w:val="32"/>
          <w:szCs w:val="32"/>
        </w:rPr>
        <w:t>（2021 -2025 年）</w:t>
      </w:r>
    </w:p>
    <w:p>
      <w:pPr>
        <w:rPr>
          <w:rFonts w:hint="eastAsia" w:eastAsia="方正小标宋简体"/>
          <w:bCs/>
          <w:color w:val="000000"/>
          <w:kern w:val="0"/>
          <w:sz w:val="36"/>
          <w:szCs w:val="36"/>
        </w:rPr>
      </w:pPr>
    </w:p>
    <w:p>
      <w:pPr>
        <w:rPr>
          <w:color w:val="000000"/>
        </w:rPr>
      </w:pPr>
    </w:p>
    <w:p>
      <w:pPr>
        <w:rPr>
          <w:color w:val="000000"/>
        </w:rPr>
      </w:pPr>
    </w:p>
    <w:p>
      <w:pPr>
        <w:rPr>
          <w:color w:val="000000"/>
        </w:rPr>
      </w:pPr>
    </w:p>
    <w:p>
      <w:pPr>
        <w:ind w:left="2790" w:leftChars="456" w:hanging="1833" w:hangingChars="573"/>
        <w:outlineLvl w:val="0"/>
        <w:rPr>
          <w:rFonts w:hint="eastAsia"/>
          <w:color w:val="000000"/>
          <w:sz w:val="32"/>
          <w:szCs w:val="32"/>
        </w:rPr>
      </w:pPr>
      <w:r>
        <w:rPr>
          <w:rFonts w:hint="eastAsia"/>
          <w:color w:val="000000"/>
          <w:sz w:val="32"/>
          <w:szCs w:val="32"/>
        </w:rPr>
        <w:t>学校名称：</w:t>
      </w:r>
      <w:r>
        <w:rPr>
          <w:rFonts w:hint="eastAsia"/>
          <w:color w:val="000000"/>
          <w:sz w:val="32"/>
          <w:szCs w:val="32"/>
          <w:u w:val="single"/>
        </w:rPr>
        <w:t xml:space="preserve"> 上海外国语大学贤达经济人文学院                      （学校公章）</w:t>
      </w:r>
    </w:p>
    <w:p>
      <w:pPr>
        <w:ind w:left="2790" w:leftChars="456" w:hanging="1833" w:hangingChars="573"/>
        <w:outlineLvl w:val="0"/>
        <w:rPr>
          <w:color w:val="000000"/>
          <w:sz w:val="32"/>
          <w:szCs w:val="32"/>
        </w:rPr>
      </w:pPr>
      <w:r>
        <w:rPr>
          <w:rFonts w:hint="eastAsia"/>
          <w:color w:val="000000"/>
          <w:sz w:val="32"/>
          <w:szCs w:val="32"/>
        </w:rPr>
        <w:t>项目名称：</w:t>
      </w:r>
      <w:r>
        <w:rPr>
          <w:rFonts w:hint="eastAsia"/>
          <w:color w:val="000000"/>
          <w:sz w:val="32"/>
          <w:szCs w:val="32"/>
          <w:u w:val="single"/>
        </w:rPr>
        <w:t xml:space="preserve"> 硕士学位授予单位培育建设专项项目                             </w:t>
      </w:r>
    </w:p>
    <w:p>
      <w:pPr>
        <w:ind w:firstLine="732" w:firstLineChars="229"/>
        <w:outlineLvl w:val="0"/>
        <w:rPr>
          <w:rFonts w:hint="eastAsia" w:ascii="宋体" w:hAnsi="宋体" w:cs="宋体"/>
          <w:color w:val="000000"/>
          <w:sz w:val="24"/>
          <w:szCs w:val="24"/>
        </w:rPr>
      </w:pPr>
      <w:r>
        <w:rPr>
          <w:rFonts w:hint="eastAsia"/>
          <w:color w:val="000000"/>
          <w:sz w:val="32"/>
          <w:szCs w:val="32"/>
        </w:rPr>
        <w:t>项目类型</w:t>
      </w:r>
      <w:r>
        <w:rPr>
          <w:color w:val="000000"/>
          <w:sz w:val="32"/>
          <w:szCs w:val="32"/>
        </w:rPr>
        <w:t>：</w:t>
      </w:r>
      <w:r>
        <w:rPr>
          <w:rFonts w:hint="eastAsia" w:ascii="宋体" w:hAnsi="宋体" w:cs="宋体"/>
          <w:color w:val="000000"/>
          <w:sz w:val="24"/>
          <w:szCs w:val="24"/>
        </w:rPr>
        <w:sym w:font="Wingdings 2" w:char="00A3"/>
      </w:r>
      <w:r>
        <w:rPr>
          <w:rFonts w:hint="eastAsia" w:ascii="宋体" w:hAnsi="宋体" w:cs="宋体"/>
          <w:color w:val="000000"/>
          <w:sz w:val="24"/>
          <w:szCs w:val="24"/>
        </w:rPr>
        <w:t xml:space="preserve"> Ⅰ类 新获授权学位点培优建设专项</w:t>
      </w:r>
    </w:p>
    <w:p>
      <w:pPr>
        <w:ind w:firstLine="2318" w:firstLineChars="966"/>
        <w:outlineLvl w:val="0"/>
        <w:rPr>
          <w:rFonts w:hint="eastAsia" w:ascii="宋体" w:hAnsi="宋体" w:cs="宋体"/>
          <w:color w:val="000000"/>
          <w:sz w:val="24"/>
          <w:szCs w:val="24"/>
        </w:rPr>
      </w:pPr>
      <w:r>
        <w:rPr>
          <w:rFonts w:hint="eastAsia" w:ascii="宋体" w:hAnsi="宋体" w:cs="宋体"/>
          <w:color w:val="000000"/>
          <w:sz w:val="24"/>
          <w:szCs w:val="24"/>
        </w:rPr>
        <w:sym w:font="Wingdings 2" w:char="00A2"/>
      </w:r>
      <w:r>
        <w:rPr>
          <w:rFonts w:hint="eastAsia" w:ascii="宋体" w:hAnsi="宋体" w:cs="宋体"/>
          <w:color w:val="000000"/>
          <w:sz w:val="24"/>
          <w:szCs w:val="24"/>
        </w:rPr>
        <w:t xml:space="preserve"> Ⅱ类 拟增学位授予单位培育建设专项</w:t>
      </w:r>
    </w:p>
    <w:p>
      <w:pPr>
        <w:ind w:firstLine="3120" w:firstLineChars="1300"/>
        <w:outlineLvl w:val="0"/>
        <w:rPr>
          <w:rFonts w:hint="eastAsia" w:ascii="宋体" w:hAnsi="宋体" w:cs="宋体"/>
          <w:color w:val="000000"/>
          <w:sz w:val="24"/>
          <w:szCs w:val="24"/>
        </w:rPr>
      </w:pPr>
      <w:r>
        <w:rPr>
          <w:rFonts w:hint="eastAsia" w:ascii="宋体" w:hAnsi="宋体" w:cs="宋体"/>
          <w:color w:val="000000"/>
          <w:sz w:val="24"/>
          <w:szCs w:val="24"/>
        </w:rPr>
        <w:t>○博士学位授予单位</w:t>
      </w:r>
    </w:p>
    <w:p>
      <w:pPr>
        <w:ind w:firstLine="3080" w:firstLineChars="700"/>
        <w:outlineLvl w:val="0"/>
        <w:rPr>
          <w:rFonts w:hint="eastAsia" w:ascii="宋体" w:hAnsi="宋体" w:cs="宋体"/>
          <w:color w:val="000000"/>
          <w:sz w:val="24"/>
          <w:szCs w:val="24"/>
        </w:rPr>
      </w:pPr>
      <w:r>
        <w:rPr>
          <w:rFonts w:ascii="Arial" w:hAnsi="Arial" w:cs="Arial"/>
          <w:color w:val="000000"/>
          <w:sz w:val="44"/>
          <w:szCs w:val="44"/>
        </w:rPr>
        <w:t>●</w:t>
      </w:r>
      <w:r>
        <w:rPr>
          <w:rFonts w:hint="eastAsia" w:ascii="宋体" w:hAnsi="宋体" w:cs="宋体"/>
          <w:color w:val="000000"/>
          <w:sz w:val="24"/>
          <w:szCs w:val="24"/>
        </w:rPr>
        <w:t>硕士学位授予单位</w:t>
      </w:r>
    </w:p>
    <w:p>
      <w:pPr>
        <w:spacing w:before="156" w:beforeLines="50" w:after="312" w:afterLines="100"/>
        <w:ind w:firstLine="2318" w:firstLineChars="966"/>
        <w:outlineLvl w:val="0"/>
        <w:rPr>
          <w:rFonts w:hint="eastAsia" w:ascii="宋体" w:hAnsi="宋体" w:cs="宋体"/>
          <w:color w:val="000000"/>
          <w:sz w:val="24"/>
          <w:szCs w:val="24"/>
          <w:u w:val="single"/>
        </w:rPr>
      </w:pPr>
      <w:r>
        <w:rPr>
          <w:rFonts w:hint="eastAsia" w:ascii="宋体" w:hAnsi="宋体" w:cs="宋体"/>
          <w:color w:val="000000"/>
          <w:sz w:val="24"/>
          <w:szCs w:val="24"/>
        </w:rPr>
        <w:sym w:font="Wingdings 2" w:char="00A3"/>
      </w:r>
      <w:r>
        <w:rPr>
          <w:rFonts w:hint="eastAsia" w:ascii="宋体" w:hAnsi="宋体" w:cs="宋体"/>
          <w:color w:val="000000"/>
          <w:sz w:val="24"/>
          <w:szCs w:val="24"/>
        </w:rPr>
        <w:t xml:space="preserve"> Ⅲ类 拟增博士学位点培育建设专项</w:t>
      </w:r>
    </w:p>
    <w:p>
      <w:pPr>
        <w:ind w:firstLine="732" w:firstLineChars="229"/>
        <w:outlineLvl w:val="0"/>
        <w:rPr>
          <w:rFonts w:hint="eastAsia"/>
          <w:color w:val="000000"/>
          <w:sz w:val="32"/>
          <w:szCs w:val="32"/>
          <w:u w:val="single"/>
        </w:rPr>
      </w:pPr>
      <w:r>
        <w:rPr>
          <w:rFonts w:hint="eastAsia"/>
          <w:color w:val="000000"/>
          <w:sz w:val="32"/>
          <w:szCs w:val="32"/>
        </w:rPr>
        <w:t>项目</w:t>
      </w:r>
      <w:r>
        <w:rPr>
          <w:color w:val="000000"/>
          <w:sz w:val="32"/>
          <w:szCs w:val="32"/>
        </w:rPr>
        <w:t>负责人（签字）</w:t>
      </w:r>
      <w:r>
        <w:rPr>
          <w:color w:val="000000"/>
          <w:sz w:val="30"/>
          <w:szCs w:val="30"/>
        </w:rPr>
        <w:t>：</w:t>
      </w:r>
      <w:r>
        <w:rPr>
          <w:rFonts w:hint="eastAsia"/>
          <w:color w:val="000000"/>
          <w:sz w:val="32"/>
          <w:szCs w:val="32"/>
          <w:u w:val="single"/>
        </w:rPr>
        <w:t xml:space="preserve">  徐征                    </w:t>
      </w:r>
    </w:p>
    <w:p>
      <w:pPr>
        <w:ind w:firstLine="732" w:firstLineChars="229"/>
        <w:outlineLvl w:val="0"/>
        <w:rPr>
          <w:rFonts w:hint="eastAsia"/>
          <w:color w:val="000000"/>
          <w:sz w:val="32"/>
          <w:szCs w:val="32"/>
        </w:rPr>
      </w:pPr>
      <w:r>
        <w:rPr>
          <w:rFonts w:hint="eastAsia"/>
          <w:color w:val="000000"/>
          <w:sz w:val="32"/>
          <w:szCs w:val="32"/>
        </w:rPr>
        <w:t xml:space="preserve">联系人：  </w:t>
      </w:r>
      <w:r>
        <w:rPr>
          <w:rFonts w:hint="eastAsia"/>
          <w:color w:val="000000"/>
          <w:sz w:val="32"/>
          <w:szCs w:val="32"/>
          <w:u w:val="single"/>
        </w:rPr>
        <w:t xml:space="preserve">            黄鉴                        </w:t>
      </w:r>
    </w:p>
    <w:p>
      <w:pPr>
        <w:ind w:firstLine="732" w:firstLineChars="229"/>
        <w:outlineLvl w:val="0"/>
        <w:rPr>
          <w:rFonts w:hint="eastAsia"/>
          <w:color w:val="000000"/>
          <w:sz w:val="32"/>
          <w:szCs w:val="32"/>
        </w:rPr>
      </w:pPr>
      <w:r>
        <w:rPr>
          <w:rFonts w:hint="eastAsia"/>
          <w:color w:val="000000"/>
          <w:sz w:val="32"/>
          <w:szCs w:val="32"/>
        </w:rPr>
        <w:t>联系电话：</w:t>
      </w:r>
      <w:r>
        <w:rPr>
          <w:rFonts w:hint="eastAsia"/>
          <w:color w:val="000000"/>
          <w:sz w:val="32"/>
          <w:szCs w:val="32"/>
          <w:u w:val="single"/>
        </w:rPr>
        <w:t xml:space="preserve">      19901712242                            </w:t>
      </w:r>
    </w:p>
    <w:p>
      <w:pPr>
        <w:ind w:firstLine="732" w:firstLineChars="229"/>
        <w:outlineLvl w:val="0"/>
        <w:rPr>
          <w:color w:val="000000"/>
          <w:sz w:val="30"/>
          <w:szCs w:val="30"/>
        </w:rPr>
      </w:pPr>
      <w:r>
        <w:rPr>
          <w:rFonts w:hint="eastAsia"/>
          <w:color w:val="000000"/>
          <w:sz w:val="32"/>
          <w:szCs w:val="32"/>
        </w:rPr>
        <w:t>申请日期</w:t>
      </w:r>
      <w:r>
        <w:rPr>
          <w:color w:val="000000"/>
          <w:sz w:val="30"/>
          <w:szCs w:val="30"/>
        </w:rPr>
        <w:t>：</w:t>
      </w:r>
      <w:r>
        <w:rPr>
          <w:rFonts w:hint="eastAsia"/>
          <w:color w:val="000000"/>
          <w:sz w:val="32"/>
          <w:szCs w:val="32"/>
          <w:u w:val="single"/>
        </w:rPr>
        <w:t xml:space="preserve">      2021年 11月10日          </w:t>
      </w:r>
      <w:r>
        <w:rPr>
          <w:color w:val="000000"/>
          <w:sz w:val="32"/>
          <w:szCs w:val="32"/>
          <w:u w:val="single"/>
        </w:rPr>
        <w:t xml:space="preserve">    </w:t>
      </w:r>
    </w:p>
    <w:p>
      <w:pPr>
        <w:jc w:val="center"/>
        <w:rPr>
          <w:rFonts w:hint="eastAsia"/>
          <w:color w:val="000000"/>
          <w:sz w:val="28"/>
          <w:szCs w:val="28"/>
        </w:rPr>
      </w:pPr>
    </w:p>
    <w:p>
      <w:pPr>
        <w:jc w:val="center"/>
        <w:rPr>
          <w:color w:val="000000"/>
          <w:sz w:val="28"/>
          <w:szCs w:val="28"/>
        </w:rPr>
        <w:sectPr>
          <w:headerReference r:id="rId5" w:type="first"/>
          <w:footerReference r:id="rId8" w:type="first"/>
          <w:headerReference r:id="rId3" w:type="default"/>
          <w:footerReference r:id="rId6" w:type="default"/>
          <w:headerReference r:id="rId4" w:type="even"/>
          <w:footerReference r:id="rId7" w:type="even"/>
          <w:pgSz w:w="11906" w:h="16838"/>
          <w:pgMar w:top="1440" w:right="1797" w:bottom="1418" w:left="1797" w:header="851" w:footer="992" w:gutter="0"/>
          <w:pgNumType w:start="1"/>
          <w:cols w:space="720" w:num="1"/>
          <w:titlePg/>
          <w:docGrid w:type="linesAndChars" w:linePitch="312" w:charSpace="0"/>
        </w:sectPr>
      </w:pPr>
      <w:r>
        <w:rPr>
          <w:rFonts w:hint="eastAsia"/>
          <w:color w:val="000000"/>
          <w:sz w:val="28"/>
          <w:szCs w:val="28"/>
        </w:rPr>
        <w:t xml:space="preserve">上海市学位委员会办公室 制表 </w:t>
      </w:r>
    </w:p>
    <w:p>
      <w:pPr>
        <w:rPr>
          <w:rFonts w:hint="eastAsia" w:ascii="黑体" w:hAnsi="黑体" w:eastAsia="黑体" w:cs="黑体"/>
          <w:bCs/>
          <w:color w:val="000000"/>
          <w:sz w:val="30"/>
          <w:szCs w:val="30"/>
        </w:rPr>
      </w:pPr>
    </w:p>
    <w:p>
      <w:pPr>
        <w:rPr>
          <w:rFonts w:hint="eastAsia" w:ascii="黑体" w:hAnsi="黑体" w:eastAsia="黑体" w:cs="黑体"/>
          <w:bCs/>
          <w:color w:val="000000"/>
          <w:sz w:val="30"/>
          <w:szCs w:val="30"/>
        </w:rPr>
      </w:pPr>
    </w:p>
    <w:p>
      <w:pPr>
        <w:rPr>
          <w:rFonts w:hint="eastAsia" w:ascii="黑体" w:hAnsi="黑体" w:eastAsia="黑体" w:cs="黑体"/>
          <w:bCs/>
          <w:color w:val="000000"/>
          <w:sz w:val="30"/>
          <w:szCs w:val="30"/>
        </w:rPr>
      </w:pPr>
    </w:p>
    <w:p>
      <w:pPr>
        <w:rPr>
          <w:rFonts w:hint="eastAsia" w:ascii="黑体" w:hAnsi="黑体" w:eastAsia="黑体" w:cs="黑体"/>
          <w:bCs/>
          <w:color w:val="000000"/>
          <w:sz w:val="30"/>
          <w:szCs w:val="30"/>
        </w:rPr>
      </w:pPr>
    </w:p>
    <w:p>
      <w:pPr>
        <w:rPr>
          <w:rFonts w:hint="eastAsia" w:ascii="黑体" w:hAnsi="黑体" w:eastAsia="黑体" w:cs="黑体"/>
          <w:bCs/>
          <w:color w:val="000000"/>
          <w:sz w:val="30"/>
          <w:szCs w:val="30"/>
        </w:rPr>
      </w:pPr>
    </w:p>
    <w:p>
      <w:pPr>
        <w:rPr>
          <w:rFonts w:hint="eastAsia" w:ascii="黑体" w:hAnsi="黑体" w:eastAsia="黑体" w:cs="黑体"/>
          <w:bCs/>
          <w:color w:val="000000"/>
          <w:sz w:val="30"/>
          <w:szCs w:val="30"/>
        </w:rPr>
      </w:pPr>
    </w:p>
    <w:p>
      <w:pPr>
        <w:rPr>
          <w:rFonts w:hint="eastAsia" w:ascii="黑体" w:hAnsi="黑体" w:eastAsia="黑体" w:cs="黑体"/>
          <w:bCs/>
          <w:color w:val="000000"/>
          <w:sz w:val="30"/>
          <w:szCs w:val="30"/>
        </w:rPr>
      </w:pPr>
    </w:p>
    <w:p>
      <w:pPr>
        <w:rPr>
          <w:rFonts w:hint="eastAsia" w:ascii="黑体" w:hAnsi="黑体" w:eastAsia="黑体" w:cs="黑体"/>
          <w:bCs/>
          <w:color w:val="000000"/>
          <w:sz w:val="30"/>
          <w:szCs w:val="30"/>
        </w:rPr>
      </w:pPr>
    </w:p>
    <w:p>
      <w:pPr>
        <w:rPr>
          <w:rFonts w:hint="eastAsia" w:ascii="黑体" w:hAnsi="黑体" w:eastAsia="黑体" w:cs="黑体"/>
          <w:bCs/>
          <w:color w:val="000000"/>
          <w:sz w:val="30"/>
          <w:szCs w:val="30"/>
        </w:rPr>
      </w:pPr>
    </w:p>
    <w:p>
      <w:pPr>
        <w:rPr>
          <w:rFonts w:hint="eastAsia" w:ascii="黑体" w:hAnsi="黑体" w:eastAsia="黑体" w:cs="黑体"/>
          <w:bCs/>
          <w:color w:val="000000"/>
          <w:sz w:val="30"/>
          <w:szCs w:val="30"/>
        </w:rPr>
      </w:pPr>
    </w:p>
    <w:p>
      <w:pPr>
        <w:rPr>
          <w:rFonts w:hint="eastAsia" w:ascii="黑体" w:hAnsi="黑体" w:eastAsia="黑体" w:cs="黑体"/>
          <w:bCs/>
          <w:color w:val="000000"/>
          <w:sz w:val="30"/>
          <w:szCs w:val="30"/>
        </w:rPr>
      </w:pPr>
    </w:p>
    <w:p>
      <w:pPr>
        <w:rPr>
          <w:rFonts w:hint="eastAsia" w:ascii="黑体" w:hAnsi="黑体" w:eastAsia="黑体" w:cs="黑体"/>
          <w:bCs/>
          <w:color w:val="000000"/>
          <w:sz w:val="30"/>
          <w:szCs w:val="30"/>
        </w:rPr>
      </w:pPr>
    </w:p>
    <w:p>
      <w:pPr>
        <w:rPr>
          <w:rFonts w:hint="eastAsia" w:ascii="黑体" w:hAnsi="黑体" w:eastAsia="黑体" w:cs="黑体"/>
          <w:bCs/>
          <w:color w:val="000000"/>
          <w:sz w:val="30"/>
          <w:szCs w:val="30"/>
        </w:rPr>
      </w:pPr>
    </w:p>
    <w:p>
      <w:pPr>
        <w:rPr>
          <w:rFonts w:hint="eastAsia" w:ascii="黑体" w:hAnsi="黑体" w:eastAsia="黑体" w:cs="黑体"/>
          <w:bCs/>
          <w:color w:val="000000"/>
          <w:sz w:val="30"/>
          <w:szCs w:val="30"/>
        </w:rPr>
      </w:pPr>
    </w:p>
    <w:p>
      <w:pPr>
        <w:rPr>
          <w:rFonts w:hint="eastAsia" w:ascii="黑体" w:hAnsi="黑体" w:eastAsia="黑体" w:cs="黑体"/>
          <w:bCs/>
          <w:color w:val="000000"/>
          <w:sz w:val="30"/>
          <w:szCs w:val="30"/>
        </w:rPr>
      </w:pPr>
    </w:p>
    <w:p>
      <w:pPr>
        <w:rPr>
          <w:rFonts w:hint="eastAsia" w:ascii="黑体" w:hAnsi="黑体" w:eastAsia="黑体" w:cs="黑体"/>
          <w:bCs/>
          <w:color w:val="000000"/>
          <w:sz w:val="30"/>
          <w:szCs w:val="30"/>
        </w:rPr>
      </w:pPr>
    </w:p>
    <w:p>
      <w:pPr>
        <w:rPr>
          <w:rFonts w:hint="eastAsia" w:ascii="黑体" w:hAnsi="黑体" w:eastAsia="黑体" w:cs="黑体"/>
          <w:bCs/>
          <w:color w:val="000000"/>
          <w:sz w:val="30"/>
          <w:szCs w:val="30"/>
        </w:rPr>
      </w:pPr>
    </w:p>
    <w:p>
      <w:pPr>
        <w:rPr>
          <w:rFonts w:hint="eastAsia" w:ascii="黑体" w:hAnsi="黑体" w:eastAsia="黑体" w:cs="黑体"/>
          <w:bCs/>
          <w:color w:val="000000"/>
          <w:sz w:val="30"/>
          <w:szCs w:val="30"/>
        </w:rPr>
      </w:pPr>
    </w:p>
    <w:p>
      <w:pPr>
        <w:rPr>
          <w:rFonts w:hint="eastAsia" w:ascii="黑体" w:hAnsi="黑体" w:eastAsia="黑体" w:cs="黑体"/>
          <w:bCs/>
          <w:color w:val="000000"/>
          <w:sz w:val="30"/>
          <w:szCs w:val="30"/>
        </w:rPr>
      </w:pPr>
    </w:p>
    <w:p>
      <w:pPr>
        <w:rPr>
          <w:rFonts w:hint="eastAsia" w:ascii="黑体" w:hAnsi="黑体" w:eastAsia="黑体" w:cs="黑体"/>
          <w:bCs/>
          <w:color w:val="000000"/>
          <w:sz w:val="30"/>
          <w:szCs w:val="30"/>
        </w:rPr>
      </w:pPr>
    </w:p>
    <w:p>
      <w:pPr>
        <w:rPr>
          <w:rFonts w:hint="eastAsia" w:ascii="黑体" w:hAnsi="黑体" w:eastAsia="黑体" w:cs="黑体"/>
          <w:bCs/>
          <w:color w:val="000000"/>
          <w:sz w:val="30"/>
          <w:szCs w:val="30"/>
        </w:rPr>
      </w:pPr>
    </w:p>
    <w:p>
      <w:pPr>
        <w:rPr>
          <w:rFonts w:hint="eastAsia" w:ascii="黑体" w:hAnsi="黑体" w:eastAsia="黑体" w:cs="黑体"/>
          <w:bCs/>
          <w:color w:val="000000"/>
          <w:sz w:val="30"/>
          <w:szCs w:val="30"/>
        </w:rPr>
        <w:sectPr>
          <w:footerReference r:id="rId9" w:type="default"/>
          <w:pgSz w:w="11906" w:h="16838"/>
          <w:pgMar w:top="1701" w:right="1588" w:bottom="1701" w:left="1588" w:header="851" w:footer="992" w:gutter="0"/>
          <w:pgNumType w:start="1"/>
          <w:cols w:space="720" w:num="1"/>
          <w:docGrid w:type="lines" w:linePitch="312" w:charSpace="0"/>
        </w:sectPr>
      </w:pPr>
    </w:p>
    <w:p>
      <w:pPr>
        <w:rPr>
          <w:rFonts w:hint="eastAsia" w:ascii="黑体" w:hAnsi="黑体" w:eastAsia="黑体" w:cs="黑体"/>
          <w:bCs/>
          <w:color w:val="000000"/>
          <w:sz w:val="30"/>
          <w:szCs w:val="30"/>
        </w:rPr>
      </w:pPr>
      <w:r>
        <w:rPr>
          <w:rFonts w:hint="eastAsia" w:ascii="黑体" w:hAnsi="黑体" w:eastAsia="黑体" w:cs="黑体"/>
          <w:bCs/>
          <w:color w:val="000000"/>
          <w:sz w:val="30"/>
          <w:szCs w:val="30"/>
        </w:rPr>
        <w:t>一、单位基本情况</w:t>
      </w:r>
    </w:p>
    <w:tbl>
      <w:tblPr>
        <w:tblStyle w:val="9"/>
        <w:tblW w:w="855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6" w:hRule="atLeast"/>
          <w:jc w:val="center"/>
        </w:trPr>
        <w:tc>
          <w:tcPr>
            <w:tcW w:w="8556" w:type="dxa"/>
            <w:noWrap w:val="0"/>
            <w:vAlign w:val="top"/>
          </w:tcPr>
          <w:p>
            <w:pPr>
              <w:spacing w:line="400" w:lineRule="exact"/>
              <w:rPr>
                <w:rFonts w:hint="eastAsia" w:ascii="仿宋_GB2312" w:hAnsi="仿宋_GB2312" w:eastAsia="仿宋_GB2312" w:cs="仿宋_GB2312"/>
                <w:b/>
                <w:bCs/>
                <w:color w:val="000000" w:themeColor="text1"/>
                <w:kern w:val="0"/>
                <w:sz w:val="28"/>
                <w:szCs w:val="28"/>
                <w:lang w:bidi="ar"/>
                <w14:textFill>
                  <w14:solidFill>
                    <w14:schemeClr w14:val="tx1"/>
                  </w14:solidFill>
                </w14:textFill>
              </w:rPr>
            </w:pPr>
            <w:r>
              <w:rPr>
                <w:rFonts w:hint="eastAsia" w:ascii="仿宋_GB2312" w:hAnsi="仿宋_GB2312" w:eastAsia="仿宋_GB2312" w:cs="仿宋_GB2312"/>
                <w:b/>
                <w:bCs/>
                <w:color w:val="000000" w:themeColor="text1"/>
                <w:kern w:val="0"/>
                <w:sz w:val="28"/>
                <w:szCs w:val="28"/>
                <w:lang w:bidi="ar"/>
                <w14:textFill>
                  <w14:solidFill>
                    <w14:schemeClr w14:val="tx1"/>
                  </w14:solidFill>
                </w14:textFill>
              </w:rPr>
              <w:t>（一）办学历史与现状</w:t>
            </w:r>
          </w:p>
          <w:p>
            <w:pPr>
              <w:spacing w:line="400" w:lineRule="exact"/>
              <w:ind w:firstLine="560" w:firstLineChars="200"/>
              <w:rPr>
                <w:rFonts w:hint="eastAsia" w:ascii="仿宋_GB2312" w:hAnsi="仿宋_GB2312" w:eastAsia="仿宋_GB2312" w:cs="仿宋_GB2312"/>
                <w:color w:val="000000" w:themeColor="text1"/>
                <w:kern w:val="0"/>
                <w:sz w:val="28"/>
                <w:szCs w:val="28"/>
                <w:lang w:bidi="ar"/>
                <w14:textFill>
                  <w14:solidFill>
                    <w14:schemeClr w14:val="tx1"/>
                  </w14:solidFill>
                </w14:textFill>
              </w:rPr>
            </w:pPr>
            <w:r>
              <w:rPr>
                <w:rFonts w:hint="eastAsia" w:ascii="仿宋_GB2312" w:hAnsi="仿宋_GB2312" w:eastAsia="仿宋_GB2312" w:cs="仿宋_GB2312"/>
                <w:color w:val="000000" w:themeColor="text1"/>
                <w:kern w:val="0"/>
                <w:sz w:val="28"/>
                <w:szCs w:val="28"/>
                <w:lang w:bidi="ar"/>
                <w14:textFill>
                  <w14:solidFill>
                    <w14:schemeClr w14:val="tx1"/>
                  </w14:solidFill>
                </w14:textFill>
              </w:rPr>
              <w:t>上海外国语大学贤达经济人文学院是教育部2004年批准的上海首批全日制本科民办高校，由上海外国语大学和上海贤达投资有限公司合作举办。建校1</w:t>
            </w:r>
            <w:r>
              <w:rPr>
                <w:rFonts w:ascii="仿宋_GB2312" w:hAnsi="仿宋_GB2312" w:eastAsia="仿宋_GB2312" w:cs="仿宋_GB2312"/>
                <w:color w:val="000000" w:themeColor="text1"/>
                <w:kern w:val="0"/>
                <w:sz w:val="28"/>
                <w:szCs w:val="28"/>
                <w:lang w:bidi="ar"/>
                <w14:textFill>
                  <w14:solidFill>
                    <w14:schemeClr w14:val="tx1"/>
                  </w14:solidFill>
                </w14:textFill>
              </w:rPr>
              <w:t>7</w:t>
            </w:r>
            <w:r>
              <w:rPr>
                <w:rFonts w:hint="eastAsia" w:ascii="仿宋_GB2312" w:hAnsi="仿宋_GB2312" w:eastAsia="仿宋_GB2312" w:cs="仿宋_GB2312"/>
                <w:color w:val="000000" w:themeColor="text1"/>
                <w:kern w:val="0"/>
                <w:sz w:val="28"/>
                <w:szCs w:val="28"/>
                <w:lang w:bidi="ar"/>
                <w14:textFill>
                  <w14:solidFill>
                    <w14:schemeClr w14:val="tx1"/>
                  </w14:solidFill>
                </w14:textFill>
              </w:rPr>
              <w:t>年来，学校依托上海外国语大学雄厚的师资力量以及外语教学与研究等方面的优势，构建了以语言、商科类学科为核心，艺术学、教育学及法学等学科协调发展的学科专业体系，涉及6个学科门类，开设22个本科专业，全日制本科在校生8709人。学校坚持以学生发展为中心，坚守“立德树人”的根本使命，弘扬“贤者惟德、达者善事”的校训，紧紧围绕“具有高尚情怀、全球视野和跨文化交流沟通能力的复合型、应用型人才”培养目标，探索“英语+”“信息技术+”具有贤达特色的复合型人才培养模式，明确了推进新文科建设，强化国际化特色办学，提高教育教学质量，增强学校核心竞争力的发展思路。2021年，在学校教育事业发展“十四五”规划中提出“积极努力争取硕士学位授予单位建设，为发展专业硕士学位研究生教育打下扎实基础。把学校办成富有活力、国际化特色鲜明的多科性、国内知名的高水平应用技术型民办大学。开创学校教育教学改革与发展的新局面，全面落实为党育人、为国育才的办学宗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556" w:type="dxa"/>
            <w:noWrap w:val="0"/>
            <w:vAlign w:val="top"/>
          </w:tcPr>
          <w:p>
            <w:pPr>
              <w:spacing w:line="400" w:lineRule="exact"/>
              <w:rPr>
                <w:rFonts w:ascii="仿宋" w:hAnsi="仿宋" w:eastAsia="仿宋" w:cs="仿宋"/>
                <w:b/>
                <w:bCs/>
                <w:color w:val="000000" w:themeColor="text1"/>
                <w:kern w:val="0"/>
                <w:szCs w:val="21"/>
                <w:lang w:bidi="ar"/>
                <w14:textFill>
                  <w14:solidFill>
                    <w14:schemeClr w14:val="tx1"/>
                  </w14:solidFill>
                </w14:textFill>
              </w:rPr>
            </w:pPr>
            <w:r>
              <w:rPr>
                <w:rFonts w:hint="eastAsia" w:ascii="仿宋_GB2312" w:hAnsi="仿宋_GB2312" w:eastAsia="仿宋_GB2312" w:cs="仿宋_GB2312"/>
                <w:b/>
                <w:bCs/>
                <w:color w:val="000000" w:themeColor="text1"/>
                <w:kern w:val="0"/>
                <w:sz w:val="28"/>
                <w:szCs w:val="28"/>
                <w:lang w:bidi="ar"/>
                <w14:textFill>
                  <w14:solidFill>
                    <w14:schemeClr w14:val="tx1"/>
                  </w14:solidFill>
                </w14:textFill>
              </w:rPr>
              <w:t>（二）办学定位与特色</w:t>
            </w:r>
          </w:p>
          <w:p>
            <w:pPr>
              <w:spacing w:line="400" w:lineRule="exact"/>
              <w:ind w:firstLine="560" w:firstLineChars="200"/>
              <w:rPr>
                <w:rFonts w:ascii="仿宋" w:hAnsi="仿宋" w:eastAsia="仿宋" w:cs="仿宋"/>
                <w:color w:val="000000" w:themeColor="text1"/>
                <w:kern w:val="0"/>
                <w:szCs w:val="21"/>
                <w:lang w:bidi="ar"/>
                <w14:textFill>
                  <w14:solidFill>
                    <w14:schemeClr w14:val="tx1"/>
                  </w14:solidFill>
                </w14:textFill>
              </w:rPr>
            </w:pPr>
            <w:r>
              <w:rPr>
                <w:rFonts w:hint="eastAsia" w:ascii="仿宋_GB2312" w:hAnsi="仿宋_GB2312" w:eastAsia="仿宋_GB2312" w:cs="仿宋_GB2312"/>
                <w:color w:val="000000" w:themeColor="text1"/>
                <w:kern w:val="0"/>
                <w:sz w:val="28"/>
                <w:szCs w:val="28"/>
                <w:lang w:bidi="ar"/>
                <w14:textFill>
                  <w14:solidFill>
                    <w14:schemeClr w14:val="tx1"/>
                  </w14:solidFill>
                </w14:textFill>
              </w:rPr>
              <w:t>以习近平新时代中国特色社会主义思想为指导，全面贯彻党的教育方针，坚定走内涵式发展道路。以立德树人、服务需求、提高质量、追求卓越为主线，以服务国家发展战略、经济社会发展需</w:t>
            </w:r>
            <w:r>
              <w:rPr>
                <w:rFonts w:hint="eastAsia" w:ascii="仿宋_GB2312" w:hAnsi="仿宋_GB2312" w:eastAsia="仿宋_GB2312" w:cs="仿宋_GB2312"/>
                <w:color w:val="000000" w:themeColor="text1"/>
                <w:kern w:val="0"/>
                <w:sz w:val="28"/>
                <w:szCs w:val="28"/>
                <w:lang w:val="en-US" w:eastAsia="zh-CN" w:bidi="ar"/>
                <w14:textFill>
                  <w14:solidFill>
                    <w14:schemeClr w14:val="tx1"/>
                  </w14:solidFill>
                </w14:textFill>
              </w:rPr>
              <w:t>要</w:t>
            </w:r>
            <w:r>
              <w:rPr>
                <w:rFonts w:hint="eastAsia" w:ascii="仿宋_GB2312" w:hAnsi="仿宋_GB2312" w:eastAsia="仿宋_GB2312" w:cs="仿宋_GB2312"/>
                <w:color w:val="000000" w:themeColor="text1"/>
                <w:kern w:val="0"/>
                <w:sz w:val="28"/>
                <w:szCs w:val="28"/>
                <w:lang w:bidi="ar"/>
                <w14:textFill>
                  <w14:solidFill>
                    <w14:schemeClr w14:val="tx1"/>
                  </w14:solidFill>
                </w14:textFill>
              </w:rPr>
              <w:t>和人的全面发展为重点，紧紧围绕上海以强化“四大功能”、深化“五个中心”建设、推动城市数字化转型、提升城市能级和核心竞争力的发展布局，深入推进学校学科专业布局优化，调整人才培养结构，完善人才培养体系，努力办好本科教育，为发展专业硕士研究生教育打下扎实基础。建设国际化特色鲜明的国内知名高水平应用技术型民办大学，为党育人、为国育才。为上海及长三角区域，培养德智体美劳全面发展，具有高尚情怀、国际视野和跨文化沟通能力的复合型、应用型人才以及专门人才。</w:t>
            </w:r>
          </w:p>
          <w:p>
            <w:pPr>
              <w:spacing w:line="400" w:lineRule="exact"/>
              <w:ind w:firstLine="560" w:firstLineChars="200"/>
              <w:rPr>
                <w:rFonts w:hint="eastAsia" w:ascii="仿宋_GB2312" w:hAnsi="仿宋_GB2312" w:eastAsia="仿宋_GB2312" w:cs="仿宋_GB2312"/>
                <w:color w:val="000000" w:themeColor="text1"/>
                <w:kern w:val="0"/>
                <w:sz w:val="28"/>
                <w:szCs w:val="28"/>
                <w:lang w:bidi="ar"/>
                <w14:textFill>
                  <w14:solidFill>
                    <w14:schemeClr w14:val="tx1"/>
                  </w14:solidFill>
                </w14:textFill>
              </w:rPr>
            </w:pPr>
            <w:r>
              <w:rPr>
                <w:rFonts w:hint="eastAsia" w:ascii="仿宋_GB2312" w:hAnsi="仿宋_GB2312" w:eastAsia="仿宋_GB2312" w:cs="仿宋_GB2312"/>
                <w:color w:val="000000" w:themeColor="text1"/>
                <w:kern w:val="0"/>
                <w:sz w:val="28"/>
                <w:szCs w:val="28"/>
                <w:lang w:bidi="ar"/>
                <w14:textFill>
                  <w14:solidFill>
                    <w14:schemeClr w14:val="tx1"/>
                  </w14:solidFill>
                </w14:textFill>
              </w:rPr>
              <w:t>坚持应用型人才培养定位，适时发展专业硕士研究生教育，主动对接国家发展战略、上海及长三角产业发展布局，积极探索以数字化交叉融合为发展方向的新文科学科专业建设，坚定推进“外语+”、“信息技术+”的复合型、应用型人才培养模式改革，积极在外语类特色专业、外语+商科、国际贸易+大数据、艺术+技术等重点领域集中力量取得突破、凝练特色、推进学科专业布局优化，建成应用型新文科学科专业体系，促进学校办学</w:t>
            </w:r>
            <w:r>
              <w:rPr>
                <w:rFonts w:hint="eastAsia" w:ascii="仿宋_GB2312" w:hAnsi="仿宋_GB2312" w:eastAsia="仿宋_GB2312" w:cs="仿宋_GB2312"/>
                <w:color w:val="000000" w:themeColor="text1"/>
                <w:kern w:val="0"/>
                <w:sz w:val="28"/>
                <w:szCs w:val="28"/>
                <w:lang w:val="en-US" w:eastAsia="zh-CN" w:bidi="ar"/>
                <w14:textFill>
                  <w14:solidFill>
                    <w14:schemeClr w14:val="tx1"/>
                  </w14:solidFill>
                </w14:textFill>
              </w:rPr>
              <w:t>层次与办学</w:t>
            </w:r>
            <w:r>
              <w:rPr>
                <w:rFonts w:hint="eastAsia" w:ascii="仿宋_GB2312" w:hAnsi="仿宋_GB2312" w:eastAsia="仿宋_GB2312" w:cs="仿宋_GB2312"/>
                <w:color w:val="000000" w:themeColor="text1"/>
                <w:kern w:val="0"/>
                <w:sz w:val="28"/>
                <w:szCs w:val="28"/>
                <w:lang w:bidi="ar"/>
                <w14:textFill>
                  <w14:solidFill>
                    <w14:schemeClr w14:val="tx1"/>
                  </w14:solidFill>
                </w14:textFill>
              </w:rPr>
              <w:t>水平的全面提升。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3" w:hRule="atLeast"/>
          <w:jc w:val="center"/>
        </w:trPr>
        <w:tc>
          <w:tcPr>
            <w:tcW w:w="8556" w:type="dxa"/>
            <w:noWrap w:val="0"/>
            <w:vAlign w:val="top"/>
          </w:tcPr>
          <w:p>
            <w:pPr>
              <w:spacing w:line="400" w:lineRule="exact"/>
              <w:rPr>
                <w:rFonts w:hint="eastAsia" w:ascii="仿宋_GB2312" w:hAnsi="仿宋_GB2312" w:eastAsia="仿宋_GB2312" w:cs="仿宋_GB2312"/>
                <w:b/>
                <w:bCs/>
                <w:color w:val="000000" w:themeColor="text1"/>
                <w:kern w:val="0"/>
                <w:sz w:val="28"/>
                <w:szCs w:val="28"/>
                <w:lang w:bidi="ar"/>
                <w14:textFill>
                  <w14:solidFill>
                    <w14:schemeClr w14:val="tx1"/>
                  </w14:solidFill>
                </w14:textFill>
              </w:rPr>
            </w:pPr>
            <w:r>
              <w:rPr>
                <w:rFonts w:hint="eastAsia" w:ascii="仿宋_GB2312" w:hAnsi="仿宋_GB2312" w:eastAsia="仿宋_GB2312" w:cs="仿宋_GB2312"/>
                <w:b/>
                <w:bCs/>
                <w:color w:val="000000" w:themeColor="text1"/>
                <w:kern w:val="0"/>
                <w:sz w:val="28"/>
                <w:szCs w:val="28"/>
                <w:lang w:bidi="ar"/>
                <w14:textFill>
                  <w14:solidFill>
                    <w14:schemeClr w14:val="tx1"/>
                  </w14:solidFill>
                </w14:textFill>
              </w:rPr>
              <w:t>（三）服务国家和区域经济社会发展需求情况</w:t>
            </w:r>
          </w:p>
          <w:p>
            <w:pPr>
              <w:spacing w:line="400" w:lineRule="exact"/>
              <w:ind w:firstLine="560" w:firstLineChars="200"/>
              <w:rPr>
                <w:rFonts w:hint="eastAsia" w:ascii="仿宋_GB2312" w:hAnsi="仿宋_GB2312" w:eastAsia="仿宋_GB2312" w:cs="仿宋_GB2312"/>
                <w:color w:val="000000" w:themeColor="text1"/>
                <w:kern w:val="0"/>
                <w:sz w:val="28"/>
                <w:szCs w:val="28"/>
                <w:lang w:bidi="ar"/>
                <w14:textFill>
                  <w14:solidFill>
                    <w14:schemeClr w14:val="tx1"/>
                  </w14:solidFill>
                </w14:textFill>
              </w:rPr>
            </w:pPr>
            <w:r>
              <w:rPr>
                <w:rFonts w:ascii="仿宋_GB2312" w:hAnsi="仿宋_GB2312" w:eastAsia="仿宋_GB2312" w:cs="仿宋_GB2312"/>
                <w:color w:val="000000" w:themeColor="text1"/>
                <w:kern w:val="0"/>
                <w:sz w:val="28"/>
                <w:szCs w:val="28"/>
                <w:lang w:bidi="ar"/>
                <w14:textFill>
                  <w14:solidFill>
                    <w14:schemeClr w14:val="tx1"/>
                  </w14:solidFill>
                </w14:textFill>
              </w:rPr>
              <w:t>党的十九大报告提出了科教兴国战略、人才强国战略、创新驱动发展战略、乡村振兴战略、区域协调发展战略、可持续发展战略、军民融合发展战略等七大战略。每个战略都与高等教育密切相关，每个战略的实施都需要高等教育的支持。</w:t>
            </w:r>
            <w:r>
              <w:rPr>
                <w:rFonts w:hint="eastAsia" w:ascii="仿宋_GB2312" w:hAnsi="仿宋_GB2312" w:eastAsia="仿宋_GB2312" w:cs="仿宋_GB2312"/>
                <w:color w:val="000000" w:themeColor="text1"/>
                <w:kern w:val="0"/>
                <w:sz w:val="28"/>
                <w:szCs w:val="28"/>
                <w:lang w:bidi="ar"/>
                <w14:textFill>
                  <w14:solidFill>
                    <w14:schemeClr w14:val="tx1"/>
                  </w14:solidFill>
                </w14:textFill>
              </w:rPr>
              <w:t>面对新时代新形势新任务，学校深刻认识服务国家和社会的时代要求，全面提升办学</w:t>
            </w:r>
            <w:r>
              <w:rPr>
                <w:rFonts w:hint="eastAsia" w:ascii="仿宋_GB2312" w:hAnsi="仿宋_GB2312" w:eastAsia="仿宋_GB2312" w:cs="仿宋_GB2312"/>
                <w:color w:val="000000" w:themeColor="text1"/>
                <w:kern w:val="0"/>
                <w:sz w:val="28"/>
                <w:szCs w:val="28"/>
                <w:lang w:val="en-US" w:eastAsia="zh-CN" w:bidi="ar"/>
                <w14:textFill>
                  <w14:solidFill>
                    <w14:schemeClr w14:val="tx1"/>
                  </w14:solidFill>
                </w14:textFill>
              </w:rPr>
              <w:t>层次</w:t>
            </w:r>
            <w:r>
              <w:rPr>
                <w:rFonts w:hint="eastAsia" w:ascii="仿宋_GB2312" w:hAnsi="仿宋_GB2312" w:eastAsia="仿宋_GB2312" w:cs="仿宋_GB2312"/>
                <w:color w:val="000000" w:themeColor="text1"/>
                <w:kern w:val="0"/>
                <w:sz w:val="28"/>
                <w:szCs w:val="28"/>
                <w:lang w:bidi="ar"/>
                <w14:textFill>
                  <w14:solidFill>
                    <w14:schemeClr w14:val="tx1"/>
                  </w14:solidFill>
                </w14:textFill>
              </w:rPr>
              <w:t>和水平，增强活力、提升能力、挖掘潜力，服务国家战略需要和区域经济社会发展，用实际行动肩负起时代赋予高等学校的责任和担当。</w:t>
            </w:r>
          </w:p>
          <w:p>
            <w:pPr>
              <w:spacing w:line="400" w:lineRule="exact"/>
              <w:ind w:firstLine="560" w:firstLineChars="200"/>
              <w:rPr>
                <w:rFonts w:hint="eastAsia" w:ascii="仿宋_GB2312" w:hAnsi="仿宋_GB2312" w:eastAsia="仿宋_GB2312" w:cs="仿宋_GB2312"/>
                <w:color w:val="000000" w:themeColor="text1"/>
                <w:kern w:val="0"/>
                <w:sz w:val="28"/>
                <w:szCs w:val="28"/>
                <w:lang w:bidi="ar"/>
                <w14:textFill>
                  <w14:solidFill>
                    <w14:schemeClr w14:val="tx1"/>
                  </w14:solidFill>
                </w14:textFill>
              </w:rPr>
            </w:pPr>
            <w:r>
              <w:rPr>
                <w:rFonts w:ascii="仿宋_GB2312" w:hAnsi="仿宋_GB2312" w:eastAsia="仿宋_GB2312" w:cs="仿宋_GB2312"/>
                <w:color w:val="000000" w:themeColor="text1"/>
                <w:kern w:val="0"/>
                <w:sz w:val="28"/>
                <w:szCs w:val="28"/>
                <w:lang w:bidi="ar"/>
                <w14:textFill>
                  <w14:solidFill>
                    <w14:schemeClr w14:val="tx1"/>
                  </w14:solidFill>
                </w14:textFill>
              </w:rPr>
              <w:t>以人才培养</w:t>
            </w:r>
            <w:r>
              <w:rPr>
                <w:rFonts w:hint="eastAsia" w:ascii="仿宋_GB2312" w:hAnsi="仿宋_GB2312" w:eastAsia="仿宋_GB2312" w:cs="仿宋_GB2312"/>
                <w:color w:val="000000" w:themeColor="text1"/>
                <w:kern w:val="0"/>
                <w:sz w:val="28"/>
                <w:szCs w:val="28"/>
                <w:lang w:bidi="ar"/>
                <w14:textFill>
                  <w14:solidFill>
                    <w14:schemeClr w14:val="tx1"/>
                  </w14:solidFill>
                </w14:textFill>
              </w:rPr>
              <w:t>、</w:t>
            </w:r>
            <w:r>
              <w:rPr>
                <w:rFonts w:ascii="仿宋_GB2312" w:hAnsi="仿宋_GB2312" w:eastAsia="仿宋_GB2312" w:cs="仿宋_GB2312"/>
                <w:color w:val="000000" w:themeColor="text1"/>
                <w:kern w:val="0"/>
                <w:sz w:val="28"/>
                <w:szCs w:val="28"/>
                <w:lang w:bidi="ar"/>
                <w14:textFill>
                  <w14:solidFill>
                    <w14:schemeClr w14:val="tx1"/>
                  </w14:solidFill>
                </w14:textFill>
              </w:rPr>
              <w:t>科技支撑</w:t>
            </w:r>
            <w:r>
              <w:rPr>
                <w:rFonts w:hint="eastAsia" w:ascii="仿宋_GB2312" w:hAnsi="仿宋_GB2312" w:eastAsia="仿宋_GB2312" w:cs="仿宋_GB2312"/>
                <w:color w:val="000000" w:themeColor="text1"/>
                <w:kern w:val="0"/>
                <w:sz w:val="28"/>
                <w:szCs w:val="28"/>
                <w:lang w:bidi="ar"/>
                <w14:textFill>
                  <w14:solidFill>
                    <w14:schemeClr w14:val="tx1"/>
                  </w14:solidFill>
                </w14:textFill>
              </w:rPr>
              <w:t>、</w:t>
            </w:r>
            <w:r>
              <w:rPr>
                <w:rFonts w:ascii="仿宋_GB2312" w:hAnsi="仿宋_GB2312" w:eastAsia="仿宋_GB2312" w:cs="仿宋_GB2312"/>
                <w:color w:val="000000" w:themeColor="text1"/>
                <w:kern w:val="0"/>
                <w:sz w:val="28"/>
                <w:szCs w:val="28"/>
                <w:lang w:bidi="ar"/>
                <w14:textFill>
                  <w14:solidFill>
                    <w14:schemeClr w14:val="tx1"/>
                  </w14:solidFill>
                </w14:textFill>
              </w:rPr>
              <w:t>文化引领服务国家战略需要和区域经济社会发展</w:t>
            </w:r>
            <w:r>
              <w:rPr>
                <w:rFonts w:hint="eastAsia" w:ascii="仿宋_GB2312" w:hAnsi="仿宋_GB2312" w:eastAsia="仿宋_GB2312" w:cs="仿宋_GB2312"/>
                <w:color w:val="000000" w:themeColor="text1"/>
                <w:kern w:val="0"/>
                <w:sz w:val="28"/>
                <w:szCs w:val="28"/>
                <w:lang w:bidi="ar"/>
                <w14:textFill>
                  <w14:solidFill>
                    <w14:schemeClr w14:val="tx1"/>
                  </w14:solidFill>
                </w14:textFill>
              </w:rPr>
              <w:t>。主动对接国家战略、主动服务上海</w:t>
            </w:r>
            <w:r>
              <w:rPr>
                <w:rFonts w:hint="eastAsia" w:ascii="仿宋_GB2312" w:hAnsi="仿宋_GB2312" w:eastAsia="仿宋_GB2312" w:cs="仿宋_GB2312"/>
                <w:color w:val="000000" w:themeColor="text1"/>
                <w:kern w:val="0"/>
                <w:sz w:val="28"/>
                <w:szCs w:val="28"/>
                <w:lang w:val="en-US" w:eastAsia="zh-CN" w:bidi="ar"/>
                <w14:textFill>
                  <w14:solidFill>
                    <w14:schemeClr w14:val="tx1"/>
                  </w14:solidFill>
                </w14:textFill>
              </w:rPr>
              <w:t>及长三角区域经济发展</w:t>
            </w:r>
            <w:r>
              <w:rPr>
                <w:rFonts w:hint="eastAsia" w:ascii="仿宋_GB2312" w:hAnsi="仿宋_GB2312" w:eastAsia="仿宋_GB2312" w:cs="仿宋_GB2312"/>
                <w:color w:val="000000" w:themeColor="text1"/>
                <w:kern w:val="0"/>
                <w:sz w:val="28"/>
                <w:szCs w:val="28"/>
                <w:lang w:bidi="ar"/>
                <w14:textFill>
                  <w14:solidFill>
                    <w14:schemeClr w14:val="tx1"/>
                  </w14:solidFill>
                </w14:textFill>
              </w:rPr>
              <w:t>需</w:t>
            </w:r>
            <w:r>
              <w:rPr>
                <w:rFonts w:hint="eastAsia" w:ascii="仿宋_GB2312" w:hAnsi="仿宋_GB2312" w:eastAsia="仿宋_GB2312" w:cs="仿宋_GB2312"/>
                <w:color w:val="000000" w:themeColor="text1"/>
                <w:kern w:val="0"/>
                <w:sz w:val="28"/>
                <w:szCs w:val="28"/>
                <w:lang w:val="en-US" w:eastAsia="zh-CN" w:bidi="ar"/>
                <w14:textFill>
                  <w14:solidFill>
                    <w14:schemeClr w14:val="tx1"/>
                  </w14:solidFill>
                </w14:textFill>
              </w:rPr>
              <w:t>要</w:t>
            </w:r>
            <w:r>
              <w:rPr>
                <w:rFonts w:hint="eastAsia" w:ascii="仿宋_GB2312" w:hAnsi="仿宋_GB2312" w:eastAsia="仿宋_GB2312" w:cs="仿宋_GB2312"/>
                <w:color w:val="000000" w:themeColor="text1"/>
                <w:kern w:val="0"/>
                <w:sz w:val="28"/>
                <w:szCs w:val="28"/>
                <w:lang w:bidi="ar"/>
                <w14:textFill>
                  <w14:solidFill>
                    <w14:schemeClr w14:val="tx1"/>
                  </w14:solidFill>
                </w14:textFill>
              </w:rPr>
              <w:t>，为上海“五个中心”、“四大品牌”和“五个新城”建设，以及建成具有世界影响力的社会主义现代化国际大都市，培养大批德才兼备的高素质、复合型、应用型人才。</w:t>
            </w:r>
          </w:p>
          <w:p>
            <w:pPr>
              <w:widowControl/>
              <w:jc w:val="left"/>
              <w:rPr>
                <w:rFonts w:ascii="Times New Roman" w:hAnsi="Times New Roman" w:eastAsia="宋体" w:cs="Times New Roman"/>
                <w:color w:val="000000" w:themeColor="text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jc w:val="center"/>
        </w:trPr>
        <w:tc>
          <w:tcPr>
            <w:tcW w:w="8556" w:type="dxa"/>
            <w:noWrap w:val="0"/>
            <w:vAlign w:val="top"/>
          </w:tcPr>
          <w:p>
            <w:pPr>
              <w:rPr>
                <w:rFonts w:ascii="仿宋_GB2312" w:hAnsi="仿宋_GB2312" w:eastAsia="仿宋_GB2312" w:cs="仿宋_GB2312"/>
                <w:color w:val="000000" w:themeColor="text1"/>
                <w:kern w:val="0"/>
                <w:sz w:val="28"/>
                <w:szCs w:val="28"/>
                <w:lang w:bidi="ar"/>
                <w14:textFill>
                  <w14:solidFill>
                    <w14:schemeClr w14:val="tx1"/>
                  </w14:solidFill>
                </w14:textFill>
              </w:rPr>
            </w:pPr>
            <w:r>
              <w:rPr>
                <w:rFonts w:hint="eastAsia" w:ascii="仿宋_GB2312" w:hAnsi="仿宋_GB2312" w:eastAsia="仿宋_GB2312" w:cs="仿宋_GB2312"/>
                <w:color w:val="000000" w:themeColor="text1"/>
                <w:kern w:val="0"/>
                <w:sz w:val="28"/>
                <w:szCs w:val="28"/>
                <w:lang w:bidi="ar"/>
                <w14:textFill>
                  <w14:solidFill>
                    <w14:schemeClr w14:val="tx1"/>
                  </w14:solidFill>
                </w14:textFill>
              </w:rPr>
              <w:t>（四）《申请新增博士硕士学位授予单位简况表》（表格见学位</w:t>
            </w:r>
            <w:r>
              <w:rPr>
                <w:rFonts w:hint="eastAsia" w:ascii="仿宋_GB2312" w:hAnsi="仿宋_GB2312" w:eastAsia="仿宋_GB2312" w:cs="仿宋_GB2312"/>
                <w:color w:val="000000" w:themeColor="text1"/>
                <w:sz w:val="32"/>
                <w:szCs w:val="32"/>
                <w14:textFill>
                  <w14:solidFill>
                    <w14:schemeClr w14:val="tx1"/>
                  </w14:solidFill>
                </w14:textFill>
              </w:rPr>
              <w:t>〔2020〕22号，</w:t>
            </w:r>
            <w:r>
              <w:rPr>
                <w:rFonts w:hint="eastAsia" w:ascii="仿宋_GB2312" w:hAnsi="仿宋_GB2312" w:eastAsia="仿宋_GB2312" w:cs="仿宋_GB2312"/>
                <w:color w:val="000000" w:themeColor="text1"/>
                <w:kern w:val="0"/>
                <w:sz w:val="28"/>
                <w:szCs w:val="28"/>
                <w:lang w:bidi="ar"/>
                <w14:textFill>
                  <w14:solidFill>
                    <w14:schemeClr w14:val="tx1"/>
                  </w14:solidFill>
                </w14:textFill>
              </w:rPr>
              <w:t>以附件形式提供）</w:t>
            </w:r>
          </w:p>
        </w:tc>
      </w:tr>
    </w:tbl>
    <w:p>
      <w:pPr>
        <w:spacing w:line="400" w:lineRule="atLeast"/>
        <w:jc w:val="left"/>
        <w:rPr>
          <w:rFonts w:hint="eastAsia" w:ascii="黑体" w:hAnsi="黑体" w:eastAsia="黑体"/>
          <w:color w:val="000000" w:themeColor="text1"/>
          <w:sz w:val="28"/>
          <w:szCs w:val="28"/>
          <w14:textFill>
            <w14:solidFill>
              <w14:schemeClr w14:val="tx1"/>
            </w14:solidFill>
          </w14:textFill>
        </w:rPr>
        <w:sectPr>
          <w:footerReference r:id="rId10" w:type="default"/>
          <w:pgSz w:w="11906" w:h="16838"/>
          <w:pgMar w:top="1701" w:right="1588" w:bottom="1701" w:left="1588" w:header="851" w:footer="992" w:gutter="0"/>
          <w:pgNumType w:start="1"/>
          <w:cols w:space="720" w:num="1"/>
          <w:docGrid w:type="lines" w:linePitch="312" w:charSpace="0"/>
        </w:sectPr>
      </w:pPr>
    </w:p>
    <w:p>
      <w:pPr>
        <w:numPr>
          <w:ilvl w:val="0"/>
          <w:numId w:val="1"/>
        </w:numPr>
        <w:rPr>
          <w:rFonts w:hint="eastAsia" w:ascii="黑体" w:hAnsi="黑体" w:eastAsia="黑体" w:cs="黑体"/>
          <w:bCs/>
          <w:color w:val="000000" w:themeColor="text1"/>
          <w:sz w:val="30"/>
          <w:szCs w:val="30"/>
          <w14:textFill>
            <w14:solidFill>
              <w14:schemeClr w14:val="tx1"/>
            </w14:solidFill>
          </w14:textFill>
        </w:rPr>
      </w:pPr>
      <w:r>
        <w:rPr>
          <w:rFonts w:hint="eastAsia" w:ascii="黑体" w:hAnsi="黑体" w:eastAsia="黑体" w:cs="黑体"/>
          <w:bCs/>
          <w:color w:val="000000" w:themeColor="text1"/>
          <w:sz w:val="30"/>
          <w:szCs w:val="30"/>
          <w14:textFill>
            <w14:solidFill>
              <w14:schemeClr w14:val="tx1"/>
            </w14:solidFill>
          </w14:textFill>
        </w:rPr>
        <w:t>授予单位建设目标</w:t>
      </w:r>
    </w:p>
    <w:tbl>
      <w:tblPr>
        <w:tblStyle w:val="9"/>
        <w:tblW w:w="903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11"/>
        <w:gridCol w:w="2924"/>
        <w:gridCol w:w="30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4" w:hRule="atLeast"/>
        </w:trPr>
        <w:tc>
          <w:tcPr>
            <w:tcW w:w="9033" w:type="dxa"/>
            <w:gridSpan w:val="3"/>
            <w:noWrap w:val="0"/>
            <w:vAlign w:val="center"/>
          </w:tcPr>
          <w:p>
            <w:pPr>
              <w:widowControl/>
              <w:numPr>
                <w:ilvl w:val="0"/>
                <w:numId w:val="2"/>
              </w:numPr>
              <w:jc w:val="left"/>
              <w:textAlignment w:val="center"/>
              <w:rPr>
                <w:rFonts w:hint="eastAsia" w:ascii="仿宋_GB2312" w:hAnsi="仿宋_GB2312" w:eastAsia="仿宋_GB2312" w:cs="仿宋_GB2312"/>
                <w:color w:val="000000" w:themeColor="text1"/>
                <w:kern w:val="0"/>
                <w:sz w:val="28"/>
                <w:szCs w:val="28"/>
                <w:lang w:bidi="ar"/>
                <w14:textFill>
                  <w14:solidFill>
                    <w14:schemeClr w14:val="tx1"/>
                  </w14:solidFill>
                </w14:textFill>
              </w:rPr>
            </w:pPr>
            <w:r>
              <w:rPr>
                <w:rFonts w:hint="eastAsia" w:ascii="仿宋_GB2312" w:hAnsi="仿宋_GB2312" w:eastAsia="仿宋_GB2312" w:cs="仿宋_GB2312"/>
                <w:color w:val="000000" w:themeColor="text1"/>
                <w:kern w:val="0"/>
                <w:sz w:val="28"/>
                <w:szCs w:val="28"/>
                <w:lang w:bidi="ar"/>
                <w14:textFill>
                  <w14:solidFill>
                    <w14:schemeClr w14:val="tx1"/>
                  </w14:solidFill>
                </w14:textFill>
              </w:rPr>
              <w:t>新增学位授予单位申请基本条件</w:t>
            </w:r>
          </w:p>
          <w:p>
            <w:pPr>
              <w:widowControl/>
              <w:jc w:val="left"/>
              <w:textAlignment w:val="center"/>
              <w:rPr>
                <w:rFonts w:hint="eastAsia" w:ascii="宋体" w:hAnsi="宋体" w:eastAsia="宋体" w:cs="宋体"/>
                <w:b/>
                <w:color w:val="000000" w:themeColor="text1"/>
                <w:kern w:val="0"/>
                <w:sz w:val="28"/>
                <w:szCs w:val="28"/>
                <w:lang w:bidi="ar"/>
                <w14:textFill>
                  <w14:solidFill>
                    <w14:schemeClr w14:val="tx1"/>
                  </w14:solidFill>
                </w14:textFill>
              </w:rPr>
            </w:pPr>
            <w:r>
              <w:rPr>
                <w:rFonts w:hint="eastAsia" w:ascii="仿宋_GB2312" w:hAnsi="仿宋_GB2312" w:eastAsia="仿宋_GB2312" w:cs="仿宋_GB2312"/>
                <w:color w:val="000000" w:themeColor="text1"/>
                <w:kern w:val="0"/>
                <w:sz w:val="20"/>
                <w:szCs w:val="20"/>
                <w:lang w:bidi="ar"/>
                <w14:textFill>
                  <w14:solidFill>
                    <w14:schemeClr w14:val="tx1"/>
                  </w14:solidFill>
                </w14:textFill>
              </w:rPr>
              <w:t>（需按申请授予单位的具体类型，对标《学位授权审核申请基本条件（2020）》逐一填写）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 w:hRule="atLeast"/>
        </w:trPr>
        <w:tc>
          <w:tcPr>
            <w:tcW w:w="3011" w:type="dxa"/>
            <w:noWrap w:val="0"/>
            <w:vAlign w:val="center"/>
          </w:tcPr>
          <w:p>
            <w:pPr>
              <w:jc w:val="center"/>
              <w:rPr>
                <w:rFonts w:hint="eastAsia" w:ascii="黑体" w:hAnsi="黑体" w:eastAsia="黑体" w:cs="黑体"/>
                <w:bCs/>
                <w:color w:val="000000" w:themeColor="text1"/>
                <w:sz w:val="30"/>
                <w:szCs w:val="30"/>
                <w14:textFill>
                  <w14:solidFill>
                    <w14:schemeClr w14:val="tx1"/>
                  </w14:solidFill>
                </w14:textFill>
              </w:rPr>
            </w:pPr>
            <w:r>
              <w:rPr>
                <w:rFonts w:hint="eastAsia" w:ascii="黑体" w:hAnsi="黑体" w:eastAsia="黑体" w:cs="黑体"/>
                <w:bCs/>
                <w:color w:val="000000" w:themeColor="text1"/>
                <w:sz w:val="30"/>
                <w:szCs w:val="30"/>
                <w14:textFill>
                  <w14:solidFill>
                    <w14:schemeClr w14:val="tx1"/>
                  </w14:solidFill>
                </w14:textFill>
              </w:rPr>
              <w:t>基本条件</w:t>
            </w:r>
          </w:p>
        </w:tc>
        <w:tc>
          <w:tcPr>
            <w:tcW w:w="2924" w:type="dxa"/>
            <w:noWrap w:val="0"/>
            <w:vAlign w:val="center"/>
          </w:tcPr>
          <w:p>
            <w:pPr>
              <w:jc w:val="center"/>
              <w:rPr>
                <w:rFonts w:hint="eastAsia" w:ascii="黑体" w:hAnsi="黑体" w:eastAsia="黑体" w:cs="黑体"/>
                <w:bCs/>
                <w:color w:val="000000" w:themeColor="text1"/>
                <w:sz w:val="30"/>
                <w:szCs w:val="30"/>
                <w14:textFill>
                  <w14:solidFill>
                    <w14:schemeClr w14:val="tx1"/>
                  </w14:solidFill>
                </w14:textFill>
              </w:rPr>
            </w:pPr>
            <w:r>
              <w:rPr>
                <w:rFonts w:hint="eastAsia" w:ascii="黑体" w:hAnsi="黑体" w:eastAsia="黑体" w:cs="黑体"/>
                <w:bCs/>
                <w:color w:val="000000" w:themeColor="text1"/>
                <w:sz w:val="30"/>
                <w:szCs w:val="30"/>
                <w14:textFill>
                  <w14:solidFill>
                    <w14:schemeClr w14:val="tx1"/>
                  </w14:solidFill>
                </w14:textFill>
              </w:rPr>
              <w:t>目前情况</w:t>
            </w:r>
          </w:p>
        </w:tc>
        <w:tc>
          <w:tcPr>
            <w:tcW w:w="3098" w:type="dxa"/>
            <w:noWrap w:val="0"/>
            <w:vAlign w:val="center"/>
          </w:tcPr>
          <w:p>
            <w:pPr>
              <w:jc w:val="center"/>
              <w:rPr>
                <w:rFonts w:hint="eastAsia" w:ascii="黑体" w:hAnsi="黑体" w:eastAsia="黑体" w:cs="黑体"/>
                <w:bCs/>
                <w:color w:val="000000" w:themeColor="text1"/>
                <w:sz w:val="30"/>
                <w:szCs w:val="30"/>
                <w14:textFill>
                  <w14:solidFill>
                    <w14:schemeClr w14:val="tx1"/>
                  </w14:solidFill>
                </w14:textFill>
              </w:rPr>
            </w:pPr>
            <w:r>
              <w:rPr>
                <w:rFonts w:hint="eastAsia" w:ascii="黑体" w:hAnsi="黑体" w:eastAsia="黑体" w:cs="黑体"/>
                <w:bCs/>
                <w:color w:val="000000" w:themeColor="text1"/>
                <w:sz w:val="30"/>
                <w:szCs w:val="30"/>
                <w14:textFill>
                  <w14:solidFill>
                    <w14:schemeClr w14:val="tx1"/>
                  </w14:solidFill>
                </w14:textFill>
              </w:rPr>
              <w:t>建设目标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8" w:hRule="atLeast"/>
        </w:trPr>
        <w:tc>
          <w:tcPr>
            <w:tcW w:w="3011" w:type="dxa"/>
            <w:noWrap w:val="0"/>
            <w:vAlign w:val="center"/>
          </w:tcPr>
          <w:p>
            <w:pPr>
              <w:widowControl/>
              <w:jc w:val="left"/>
              <w:textAlignment w:val="center"/>
              <w:rPr>
                <w:rFonts w:hint="eastAsia" w:ascii="仿宋_GB2312" w:hAnsi="仿宋_GB2312" w:eastAsia="仿宋_GB2312" w:cs="仿宋_GB2312"/>
                <w:color w:val="000000" w:themeColor="text1"/>
                <w:kern w:val="0"/>
                <w:sz w:val="24"/>
                <w:szCs w:val="24"/>
                <w:lang w:bidi="ar"/>
                <w14:textFill>
                  <w14:solidFill>
                    <w14:schemeClr w14:val="tx1"/>
                  </w14:solidFill>
                </w14:textFill>
              </w:rPr>
            </w:pPr>
            <w:r>
              <w:rPr>
                <w:rFonts w:hint="eastAsia" w:ascii="仿宋_GB2312" w:hAnsi="仿宋_GB2312" w:eastAsia="仿宋_GB2312" w:cs="仿宋_GB2312"/>
                <w:color w:val="000000" w:themeColor="text1"/>
                <w:kern w:val="0"/>
                <w:sz w:val="24"/>
                <w:szCs w:val="24"/>
                <w:lang w:bidi="ar"/>
                <w14:textFill>
                  <w14:solidFill>
                    <w14:schemeClr w14:val="tx1"/>
                  </w14:solidFill>
                </w14:textFill>
              </w:rPr>
              <w:t>已获得学士学位授权9年</w:t>
            </w:r>
          </w:p>
        </w:tc>
        <w:tc>
          <w:tcPr>
            <w:tcW w:w="2924" w:type="dxa"/>
            <w:noWrap w:val="0"/>
            <w:vAlign w:val="center"/>
          </w:tcPr>
          <w:p>
            <w:pPr>
              <w:widowControl/>
              <w:jc w:val="left"/>
              <w:textAlignment w:val="center"/>
              <w:rPr>
                <w:rFonts w:hint="eastAsia" w:ascii="仿宋_GB2312" w:hAnsi="仿宋_GB2312" w:eastAsia="仿宋_GB2312" w:cs="仿宋_GB2312"/>
                <w:color w:val="000000" w:themeColor="text1"/>
                <w:kern w:val="0"/>
                <w:sz w:val="24"/>
                <w:szCs w:val="24"/>
                <w:lang w:bidi="ar"/>
                <w14:textFill>
                  <w14:solidFill>
                    <w14:schemeClr w14:val="tx1"/>
                  </w14:solidFill>
                </w14:textFill>
              </w:rPr>
            </w:pPr>
            <w:r>
              <w:rPr>
                <w:rFonts w:hint="eastAsia" w:ascii="仿宋_GB2312" w:hAnsi="仿宋_GB2312" w:eastAsia="仿宋_GB2312" w:cs="仿宋_GB2312"/>
                <w:color w:val="000000" w:themeColor="text1"/>
                <w:kern w:val="0"/>
                <w:sz w:val="24"/>
                <w:szCs w:val="24"/>
                <w:lang w:bidi="ar"/>
                <w14:textFill>
                  <w14:solidFill>
                    <w14:schemeClr w14:val="tx1"/>
                  </w14:solidFill>
                </w14:textFill>
              </w:rPr>
              <w:t>2012年获得学士学位授权单位</w:t>
            </w:r>
          </w:p>
        </w:tc>
        <w:tc>
          <w:tcPr>
            <w:tcW w:w="3098" w:type="dxa"/>
            <w:noWrap w:val="0"/>
            <w:vAlign w:val="center"/>
          </w:tcPr>
          <w:p>
            <w:pPr>
              <w:widowControl/>
              <w:jc w:val="left"/>
              <w:textAlignment w:val="center"/>
              <w:rPr>
                <w:rFonts w:hint="default" w:ascii="仿宋_GB2312" w:hAnsi="仿宋_GB2312" w:eastAsia="仿宋_GB2312" w:cs="仿宋_GB2312"/>
                <w:color w:val="000000" w:themeColor="text1"/>
                <w:kern w:val="0"/>
                <w:sz w:val="24"/>
                <w:szCs w:val="24"/>
                <w:lang w:val="en-US" w:eastAsia="zh-CN" w:bidi="ar"/>
                <w14:textFill>
                  <w14:solidFill>
                    <w14:schemeClr w14:val="tx1"/>
                  </w14:solidFill>
                </w14:textFill>
              </w:rPr>
            </w:pPr>
            <w:r>
              <w:rPr>
                <w:rFonts w:hint="eastAsia" w:ascii="仿宋_GB2312" w:hAnsi="仿宋_GB2312" w:eastAsia="仿宋_GB2312" w:cs="仿宋_GB2312"/>
                <w:color w:val="000000" w:themeColor="text1"/>
                <w:kern w:val="0"/>
                <w:sz w:val="24"/>
                <w:szCs w:val="24"/>
                <w:lang w:val="en-US" w:eastAsia="zh-CN" w:bidi="ar"/>
                <w14:textFill>
                  <w14:solidFill>
                    <w14:schemeClr w14:val="tx1"/>
                  </w14:solidFill>
                </w14:textFill>
              </w:rPr>
              <w:t>2025年具备硕士学位授权审核基本条件（2020）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3011" w:type="dxa"/>
            <w:noWrap w:val="0"/>
            <w:vAlign w:val="center"/>
          </w:tcPr>
          <w:p>
            <w:pPr>
              <w:widowControl/>
              <w:jc w:val="left"/>
              <w:textAlignment w:val="center"/>
              <w:rPr>
                <w:rFonts w:hint="eastAsia" w:ascii="仿宋_GB2312" w:hAnsi="仿宋_GB2312" w:eastAsia="仿宋_GB2312" w:cs="仿宋_GB2312"/>
                <w:color w:val="000000" w:themeColor="text1"/>
                <w:kern w:val="0"/>
                <w:sz w:val="24"/>
                <w:szCs w:val="24"/>
                <w:lang w:bidi="ar"/>
                <w14:textFill>
                  <w14:solidFill>
                    <w14:schemeClr w14:val="tx1"/>
                  </w14:solidFill>
                </w14:textFill>
              </w:rPr>
            </w:pPr>
            <w:r>
              <w:rPr>
                <w:rFonts w:hint="eastAsia" w:ascii="仿宋_GB2312" w:hAnsi="仿宋_GB2312" w:eastAsia="仿宋_GB2312" w:cs="仿宋_GB2312"/>
                <w:color w:val="000000" w:themeColor="text1"/>
                <w:kern w:val="0"/>
                <w:sz w:val="24"/>
                <w:szCs w:val="24"/>
                <w:lang w:bidi="ar"/>
                <w14:textFill>
                  <w14:solidFill>
                    <w14:schemeClr w14:val="tx1"/>
                  </w14:solidFill>
                </w14:textFill>
              </w:rPr>
              <w:t>现有学科或专业学位类别</w:t>
            </w:r>
          </w:p>
        </w:tc>
        <w:tc>
          <w:tcPr>
            <w:tcW w:w="2924" w:type="dxa"/>
            <w:noWrap w:val="0"/>
            <w:vAlign w:val="center"/>
          </w:tcPr>
          <w:p>
            <w:pPr>
              <w:widowControl/>
              <w:jc w:val="left"/>
              <w:textAlignment w:val="center"/>
              <w:rPr>
                <w:rFonts w:hint="default" w:ascii="仿宋_GB2312" w:hAnsi="仿宋_GB2312" w:eastAsia="仿宋_GB2312" w:cs="仿宋_GB2312"/>
                <w:color w:val="000000" w:themeColor="text1"/>
                <w:kern w:val="0"/>
                <w:sz w:val="24"/>
                <w:szCs w:val="24"/>
                <w:lang w:val="en-US" w:eastAsia="zh-CN" w:bidi="ar"/>
                <w14:textFill>
                  <w14:solidFill>
                    <w14:schemeClr w14:val="tx1"/>
                  </w14:solidFill>
                </w14:textFill>
              </w:rPr>
            </w:pPr>
            <w:r>
              <w:rPr>
                <w:rFonts w:hint="eastAsia" w:ascii="仿宋_GB2312" w:hAnsi="仿宋_GB2312" w:eastAsia="仿宋_GB2312" w:cs="仿宋_GB2312"/>
                <w:color w:val="000000" w:themeColor="text1"/>
                <w:kern w:val="0"/>
                <w:sz w:val="24"/>
                <w:szCs w:val="24"/>
                <w:lang w:bidi="ar"/>
                <w14:textFill>
                  <w14:solidFill>
                    <w14:schemeClr w14:val="tx1"/>
                  </w14:solidFill>
                </w14:textFill>
              </w:rPr>
              <w:t>现有文学、经济学、管理学、教育学、艺术学、法学6大学科门类22个本科专业，均获得学士学位授予权。</w:t>
            </w:r>
            <w:r>
              <w:rPr>
                <w:rFonts w:hint="eastAsia" w:ascii="仿宋_GB2312" w:hAnsi="仿宋_GB2312" w:eastAsia="仿宋_GB2312" w:cs="仿宋_GB2312"/>
                <w:color w:val="000000" w:themeColor="text1"/>
                <w:kern w:val="0"/>
                <w:sz w:val="24"/>
                <w:szCs w:val="24"/>
                <w:lang w:val="en-US" w:eastAsia="zh-CN" w:bidi="ar"/>
                <w14:textFill>
                  <w14:solidFill>
                    <w14:schemeClr w14:val="tx1"/>
                  </w14:solidFill>
                </w14:textFill>
              </w:rPr>
              <w:t>学校已将硕士学位授予单位培育建设工作纳入教育事业发展“十四五”规划，“十四五”期间拟培育建设翻译、金融、艺术三个硕士点。</w:t>
            </w:r>
          </w:p>
        </w:tc>
        <w:tc>
          <w:tcPr>
            <w:tcW w:w="3098" w:type="dxa"/>
            <w:noWrap w:val="0"/>
            <w:vAlign w:val="center"/>
          </w:tcPr>
          <w:p>
            <w:pPr>
              <w:widowControl/>
              <w:jc w:val="left"/>
              <w:textAlignment w:val="center"/>
              <w:rPr>
                <w:rFonts w:hint="eastAsia" w:ascii="仿宋_GB2312" w:hAnsi="仿宋_GB2312" w:eastAsia="仿宋_GB2312" w:cs="仿宋_GB2312"/>
                <w:color w:val="000000" w:themeColor="text1"/>
                <w:kern w:val="0"/>
                <w:sz w:val="24"/>
                <w:szCs w:val="24"/>
                <w:lang w:bidi="ar"/>
                <w14:textFill>
                  <w14:solidFill>
                    <w14:schemeClr w14:val="tx1"/>
                  </w14:solidFill>
                </w14:textFill>
              </w:rPr>
            </w:pPr>
            <w:r>
              <w:rPr>
                <w:rFonts w:hint="eastAsia" w:ascii="仿宋_GB2312" w:hAnsi="仿宋_GB2312" w:eastAsia="仿宋_GB2312" w:cs="仿宋_GB2312"/>
                <w:color w:val="000000" w:themeColor="text1"/>
                <w:kern w:val="0"/>
                <w:sz w:val="24"/>
                <w:szCs w:val="24"/>
                <w:lang w:bidi="ar"/>
                <w14:textFill>
                  <w14:solidFill>
                    <w14:schemeClr w14:val="tx1"/>
                  </w14:solidFill>
                </w14:textFill>
              </w:rPr>
              <w:t xml:space="preserve">    全面落实立德树人根本任务，办学定位清晰、目标明确、特色鲜明，党建和思想政治工作落实到位。推进学科专业布局优化，建成应用型新文科学科专业体系。通过硕士学位授予单位培育建设、硕士学位授权点培育建设，力争在</w:t>
            </w:r>
            <w:r>
              <w:rPr>
                <w:rFonts w:hint="eastAsia" w:ascii="仿宋_GB2312" w:hAnsi="仿宋_GB2312" w:eastAsia="仿宋_GB2312" w:cs="仿宋_GB2312"/>
                <w:color w:val="000000" w:themeColor="text1"/>
                <w:kern w:val="0"/>
                <w:sz w:val="24"/>
                <w:szCs w:val="24"/>
                <w:lang w:val="en-US" w:eastAsia="zh-CN" w:bidi="ar"/>
                <w14:textFill>
                  <w14:solidFill>
                    <w14:schemeClr w14:val="tx1"/>
                  </w14:solidFill>
                </w14:textFill>
              </w:rPr>
              <w:t>2025年末</w:t>
            </w:r>
            <w:r>
              <w:rPr>
                <w:rFonts w:hint="eastAsia" w:ascii="仿宋_GB2312" w:hAnsi="仿宋_GB2312" w:eastAsia="仿宋_GB2312" w:cs="仿宋_GB2312"/>
                <w:color w:val="000000" w:themeColor="text1"/>
                <w:kern w:val="0"/>
                <w:sz w:val="24"/>
                <w:szCs w:val="24"/>
                <w:lang w:bidi="ar"/>
                <w14:textFill>
                  <w14:solidFill>
                    <w14:schemeClr w14:val="tx1"/>
                  </w14:solidFill>
                </w14:textFill>
              </w:rPr>
              <w:t>，</w:t>
            </w:r>
            <w:r>
              <w:rPr>
                <w:rFonts w:hint="eastAsia" w:ascii="仿宋_GB2312" w:hAnsi="仿宋_GB2312" w:eastAsia="仿宋_GB2312" w:cs="仿宋_GB2312"/>
                <w:color w:val="000000" w:themeColor="text1"/>
                <w:kern w:val="0"/>
                <w:sz w:val="24"/>
                <w:szCs w:val="24"/>
                <w:lang w:val="en-US" w:eastAsia="zh-CN" w:bidi="ar"/>
                <w14:textFill>
                  <w14:solidFill>
                    <w14:schemeClr w14:val="tx1"/>
                  </w14:solidFill>
                </w14:textFill>
              </w:rPr>
              <w:t>实现</w:t>
            </w:r>
            <w:r>
              <w:rPr>
                <w:rFonts w:hint="eastAsia" w:ascii="仿宋_GB2312" w:hAnsi="仿宋_GB2312" w:eastAsia="仿宋_GB2312" w:cs="仿宋_GB2312"/>
                <w:color w:val="000000" w:themeColor="text1"/>
                <w:kern w:val="0"/>
                <w:sz w:val="24"/>
                <w:szCs w:val="24"/>
                <w:lang w:bidi="ar"/>
                <w14:textFill>
                  <w14:solidFill>
                    <w14:schemeClr w14:val="tx1"/>
                  </w14:solidFill>
                </w14:textFill>
              </w:rPr>
              <w:t>专业硕士学位授予单位、</w:t>
            </w:r>
            <w:r>
              <w:rPr>
                <w:rFonts w:hint="eastAsia" w:ascii="仿宋_GB2312" w:hAnsi="仿宋_GB2312" w:eastAsia="仿宋_GB2312" w:cs="仿宋_GB2312"/>
                <w:color w:val="000000" w:themeColor="text1"/>
                <w:kern w:val="0"/>
                <w:sz w:val="24"/>
                <w:szCs w:val="24"/>
                <w:lang w:val="en-US" w:eastAsia="zh-CN" w:bidi="ar"/>
                <w14:textFill>
                  <w14:solidFill>
                    <w14:schemeClr w14:val="tx1"/>
                  </w14:solidFill>
                </w14:textFill>
              </w:rPr>
              <w:t>以及翻译、金融、艺术</w:t>
            </w:r>
            <w:r>
              <w:rPr>
                <w:rFonts w:hint="eastAsia" w:ascii="仿宋_GB2312" w:hAnsi="仿宋_GB2312" w:eastAsia="仿宋_GB2312" w:cs="仿宋_GB2312"/>
                <w:color w:val="000000" w:themeColor="text1"/>
                <w:kern w:val="0"/>
                <w:sz w:val="24"/>
                <w:szCs w:val="24"/>
                <w:lang w:bidi="ar"/>
                <w14:textFill>
                  <w14:solidFill>
                    <w14:schemeClr w14:val="tx1"/>
                  </w14:solidFill>
                </w14:textFill>
              </w:rPr>
              <w:t>专业硕士点的</w:t>
            </w:r>
            <w:r>
              <w:rPr>
                <w:rFonts w:hint="eastAsia" w:ascii="仿宋_GB2312" w:hAnsi="仿宋_GB2312" w:eastAsia="仿宋_GB2312" w:cs="仿宋_GB2312"/>
                <w:color w:val="000000" w:themeColor="text1"/>
                <w:kern w:val="0"/>
                <w:sz w:val="24"/>
                <w:szCs w:val="24"/>
                <w:lang w:val="en-US" w:eastAsia="zh-CN" w:bidi="ar"/>
                <w14:textFill>
                  <w14:solidFill>
                    <w14:schemeClr w14:val="tx1"/>
                  </w14:solidFill>
                </w14:textFill>
              </w:rPr>
              <w:t>建设目标</w:t>
            </w:r>
            <w:r>
              <w:rPr>
                <w:rFonts w:hint="eastAsia" w:ascii="仿宋_GB2312" w:hAnsi="仿宋_GB2312" w:eastAsia="仿宋_GB2312" w:cs="仿宋_GB2312"/>
                <w:color w:val="000000" w:themeColor="text1"/>
                <w:kern w:val="0"/>
                <w:sz w:val="24"/>
                <w:szCs w:val="24"/>
                <w:lang w:bidi="ar"/>
                <w14:textFill>
                  <w14:solidFill>
                    <w14:schemeClr w14:val="tx1"/>
                  </w14:solidFill>
                </w14:textFill>
              </w:rPr>
              <w:t>。202</w:t>
            </w:r>
            <w:r>
              <w:rPr>
                <w:rFonts w:hint="eastAsia" w:ascii="仿宋_GB2312" w:hAnsi="仿宋_GB2312" w:eastAsia="仿宋_GB2312" w:cs="仿宋_GB2312"/>
                <w:color w:val="000000" w:themeColor="text1"/>
                <w:kern w:val="0"/>
                <w:sz w:val="24"/>
                <w:szCs w:val="24"/>
                <w:lang w:val="en-US" w:eastAsia="zh-CN" w:bidi="ar"/>
                <w14:textFill>
                  <w14:solidFill>
                    <w14:schemeClr w14:val="tx1"/>
                  </w14:solidFill>
                </w14:textFill>
              </w:rPr>
              <w:t>6</w:t>
            </w:r>
            <w:r>
              <w:rPr>
                <w:rFonts w:hint="eastAsia" w:ascii="仿宋_GB2312" w:hAnsi="仿宋_GB2312" w:eastAsia="仿宋_GB2312" w:cs="仿宋_GB2312"/>
                <w:color w:val="000000" w:themeColor="text1"/>
                <w:kern w:val="0"/>
                <w:sz w:val="24"/>
                <w:szCs w:val="24"/>
                <w:lang w:bidi="ar"/>
                <w14:textFill>
                  <w14:solidFill>
                    <w14:schemeClr w14:val="tx1"/>
                  </w14:solidFill>
                </w14:textFill>
              </w:rPr>
              <w:t>申报专业硕士学位授予单位及专业硕士点评审。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3011" w:type="dxa"/>
            <w:noWrap w:val="0"/>
            <w:vAlign w:val="center"/>
          </w:tcPr>
          <w:p>
            <w:pPr>
              <w:widowControl/>
              <w:jc w:val="left"/>
              <w:textAlignment w:val="center"/>
              <w:rPr>
                <w:rFonts w:hint="eastAsia" w:ascii="仿宋_GB2312" w:hAnsi="仿宋_GB2312" w:eastAsia="仿宋_GB2312" w:cs="仿宋_GB2312"/>
                <w:color w:val="000000" w:themeColor="text1"/>
                <w:kern w:val="0"/>
                <w:sz w:val="24"/>
                <w:szCs w:val="24"/>
                <w:lang w:bidi="ar"/>
                <w14:textFill>
                  <w14:solidFill>
                    <w14:schemeClr w14:val="tx1"/>
                  </w14:solidFill>
                </w14:textFill>
              </w:rPr>
            </w:pPr>
            <w:r>
              <w:rPr>
                <w:rFonts w:hint="eastAsia" w:ascii="仿宋_GB2312" w:hAnsi="仿宋_GB2312" w:eastAsia="仿宋_GB2312" w:cs="仿宋_GB2312"/>
                <w:color w:val="000000" w:themeColor="text1"/>
                <w:kern w:val="0"/>
                <w:sz w:val="24"/>
                <w:szCs w:val="24"/>
                <w:lang w:bidi="ar"/>
                <w14:textFill>
                  <w14:solidFill>
                    <w14:schemeClr w14:val="tx1"/>
                  </w14:solidFill>
                </w14:textFill>
              </w:rPr>
              <w:t>师资队伍建设</w:t>
            </w:r>
          </w:p>
        </w:tc>
        <w:tc>
          <w:tcPr>
            <w:tcW w:w="2924" w:type="dxa"/>
            <w:noWrap w:val="0"/>
            <w:vAlign w:val="center"/>
          </w:tcPr>
          <w:p>
            <w:pPr>
              <w:widowControl/>
              <w:jc w:val="left"/>
              <w:textAlignment w:val="center"/>
              <w:rPr>
                <w:rFonts w:hint="eastAsia" w:ascii="仿宋_GB2312" w:hAnsi="仿宋_GB2312" w:eastAsia="仿宋_GB2312" w:cs="仿宋_GB2312"/>
                <w:color w:val="000000" w:themeColor="text1"/>
                <w:kern w:val="0"/>
                <w:sz w:val="24"/>
                <w:szCs w:val="24"/>
                <w:lang w:bidi="ar"/>
                <w14:textFill>
                  <w14:solidFill>
                    <w14:schemeClr w14:val="tx1"/>
                  </w14:solidFill>
                </w14:textFill>
              </w:rPr>
            </w:pPr>
            <w:r>
              <w:rPr>
                <w:rFonts w:hint="eastAsia" w:ascii="仿宋_GB2312" w:hAnsi="仿宋_GB2312" w:eastAsia="仿宋_GB2312" w:cs="仿宋_GB2312"/>
                <w:color w:val="000000" w:themeColor="text1"/>
                <w:kern w:val="0"/>
                <w:sz w:val="24"/>
                <w:szCs w:val="24"/>
                <w:lang w:bidi="ar"/>
                <w14:textFill>
                  <w14:solidFill>
                    <w14:schemeClr w14:val="tx1"/>
                  </w14:solidFill>
                </w14:textFill>
              </w:rPr>
              <w:t>拥有一支师德高尚、业务水平优良的师资队伍；专任教师中具有博士学位教师的比例为 1</w:t>
            </w:r>
            <w:r>
              <w:rPr>
                <w:rFonts w:hint="eastAsia" w:ascii="仿宋_GB2312" w:hAnsi="仿宋_GB2312" w:eastAsia="仿宋_GB2312" w:cs="仿宋_GB2312"/>
                <w:color w:val="000000" w:themeColor="text1"/>
                <w:kern w:val="0"/>
                <w:sz w:val="24"/>
                <w:szCs w:val="24"/>
                <w:lang w:val="en-US" w:eastAsia="zh-CN" w:bidi="ar"/>
                <w14:textFill>
                  <w14:solidFill>
                    <w14:schemeClr w14:val="tx1"/>
                  </w14:solidFill>
                </w14:textFill>
              </w:rPr>
              <w:t>8</w:t>
            </w:r>
            <w:r>
              <w:rPr>
                <w:rFonts w:hint="eastAsia" w:ascii="仿宋_GB2312" w:hAnsi="仿宋_GB2312" w:eastAsia="仿宋_GB2312" w:cs="仿宋_GB2312"/>
                <w:color w:val="000000" w:themeColor="text1"/>
                <w:kern w:val="0"/>
                <w:sz w:val="24"/>
                <w:szCs w:val="24"/>
                <w:lang w:bidi="ar"/>
                <w14:textFill>
                  <w14:solidFill>
                    <w14:schemeClr w14:val="tx1"/>
                  </w14:solidFill>
                </w14:textFill>
              </w:rPr>
              <w:t>.</w:t>
            </w:r>
            <w:r>
              <w:rPr>
                <w:rFonts w:hint="eastAsia" w:ascii="仿宋_GB2312" w:hAnsi="仿宋_GB2312" w:eastAsia="仿宋_GB2312" w:cs="仿宋_GB2312"/>
                <w:color w:val="000000" w:themeColor="text1"/>
                <w:kern w:val="0"/>
                <w:sz w:val="24"/>
                <w:szCs w:val="24"/>
                <w:lang w:val="en-US" w:eastAsia="zh-CN" w:bidi="ar"/>
                <w14:textFill>
                  <w14:solidFill>
                    <w14:schemeClr w14:val="tx1"/>
                  </w14:solidFill>
                </w14:textFill>
              </w:rPr>
              <w:t>54</w:t>
            </w:r>
            <w:r>
              <w:rPr>
                <w:rFonts w:hint="eastAsia" w:ascii="仿宋_GB2312" w:hAnsi="仿宋_GB2312" w:eastAsia="仿宋_GB2312" w:cs="仿宋_GB2312"/>
                <w:color w:val="000000" w:themeColor="text1"/>
                <w:kern w:val="0"/>
                <w:sz w:val="24"/>
                <w:szCs w:val="24"/>
                <w:lang w:bidi="ar"/>
                <w14:textFill>
                  <w14:solidFill>
                    <w14:schemeClr w14:val="tx1"/>
                  </w14:solidFill>
                </w14:textFill>
              </w:rPr>
              <w:t>%，具有硕士以上学位教师的比例为7</w:t>
            </w:r>
            <w:r>
              <w:rPr>
                <w:rFonts w:hint="eastAsia" w:ascii="仿宋_GB2312" w:hAnsi="仿宋_GB2312" w:eastAsia="仿宋_GB2312" w:cs="仿宋_GB2312"/>
                <w:color w:val="000000" w:themeColor="text1"/>
                <w:kern w:val="0"/>
                <w:sz w:val="24"/>
                <w:szCs w:val="24"/>
                <w:lang w:val="en-US" w:eastAsia="zh-CN" w:bidi="ar"/>
                <w14:textFill>
                  <w14:solidFill>
                    <w14:schemeClr w14:val="tx1"/>
                  </w14:solidFill>
                </w14:textFill>
              </w:rPr>
              <w:t>7</w:t>
            </w:r>
            <w:r>
              <w:rPr>
                <w:rFonts w:hint="eastAsia" w:ascii="仿宋_GB2312" w:hAnsi="仿宋_GB2312" w:eastAsia="仿宋_GB2312" w:cs="仿宋_GB2312"/>
                <w:color w:val="000000" w:themeColor="text1"/>
                <w:kern w:val="0"/>
                <w:sz w:val="24"/>
                <w:szCs w:val="24"/>
                <w:lang w:bidi="ar"/>
                <w14:textFill>
                  <w14:solidFill>
                    <w14:schemeClr w14:val="tx1"/>
                  </w14:solidFill>
                </w14:textFill>
              </w:rPr>
              <w:t>.</w:t>
            </w:r>
            <w:r>
              <w:rPr>
                <w:rFonts w:hint="eastAsia" w:ascii="仿宋_GB2312" w:hAnsi="仿宋_GB2312" w:eastAsia="仿宋_GB2312" w:cs="仿宋_GB2312"/>
                <w:color w:val="000000" w:themeColor="text1"/>
                <w:kern w:val="0"/>
                <w:sz w:val="24"/>
                <w:szCs w:val="24"/>
                <w:lang w:val="en-US" w:eastAsia="zh-CN" w:bidi="ar"/>
                <w14:textFill>
                  <w14:solidFill>
                    <w14:schemeClr w14:val="tx1"/>
                  </w14:solidFill>
                </w14:textFill>
              </w:rPr>
              <w:t>81</w:t>
            </w:r>
            <w:r>
              <w:rPr>
                <w:rFonts w:hint="eastAsia" w:ascii="仿宋_GB2312" w:hAnsi="仿宋_GB2312" w:eastAsia="仿宋_GB2312" w:cs="仿宋_GB2312"/>
                <w:color w:val="000000" w:themeColor="text1"/>
                <w:kern w:val="0"/>
                <w:sz w:val="24"/>
                <w:szCs w:val="24"/>
                <w:lang w:bidi="ar"/>
                <w14:textFill>
                  <w14:solidFill>
                    <w14:schemeClr w14:val="tx1"/>
                  </w14:solidFill>
                </w14:textFill>
              </w:rPr>
              <w:t>%，年龄结构合理，生师比为 19.7:1。</w:t>
            </w:r>
          </w:p>
        </w:tc>
        <w:tc>
          <w:tcPr>
            <w:tcW w:w="3098" w:type="dxa"/>
            <w:noWrap w:val="0"/>
            <w:vAlign w:val="center"/>
          </w:tcPr>
          <w:p>
            <w:pPr>
              <w:widowControl/>
              <w:jc w:val="left"/>
              <w:textAlignment w:val="center"/>
              <w:rPr>
                <w:rFonts w:hint="eastAsia" w:ascii="仿宋_GB2312" w:hAnsi="仿宋_GB2312" w:eastAsia="仿宋_GB2312" w:cs="仿宋_GB2312"/>
                <w:color w:val="000000" w:themeColor="text1"/>
                <w:kern w:val="0"/>
                <w:sz w:val="24"/>
                <w:szCs w:val="24"/>
                <w:lang w:bidi="ar"/>
                <w14:textFill>
                  <w14:solidFill>
                    <w14:schemeClr w14:val="tx1"/>
                  </w14:solidFill>
                </w14:textFill>
              </w:rPr>
            </w:pPr>
            <w:r>
              <w:rPr>
                <w:rFonts w:hint="eastAsia" w:ascii="仿宋_GB2312" w:hAnsi="仿宋_GB2312" w:eastAsia="仿宋_GB2312" w:cs="仿宋_GB2312"/>
                <w:color w:val="000000" w:themeColor="text1"/>
                <w:kern w:val="0"/>
                <w:sz w:val="24"/>
                <w:szCs w:val="24"/>
                <w:lang w:bidi="ar"/>
                <w14:textFill>
                  <w14:solidFill>
                    <w14:schemeClr w14:val="tx1"/>
                  </w14:solidFill>
                </w14:textFill>
              </w:rPr>
              <w:t>202</w:t>
            </w:r>
            <w:r>
              <w:rPr>
                <w:rFonts w:hint="eastAsia" w:ascii="仿宋_GB2312" w:hAnsi="仿宋_GB2312" w:eastAsia="仿宋_GB2312" w:cs="仿宋_GB2312"/>
                <w:color w:val="000000" w:themeColor="text1"/>
                <w:kern w:val="0"/>
                <w:sz w:val="24"/>
                <w:szCs w:val="24"/>
                <w:lang w:val="en-US" w:eastAsia="zh-CN" w:bidi="ar"/>
                <w14:textFill>
                  <w14:solidFill>
                    <w14:schemeClr w14:val="tx1"/>
                  </w14:solidFill>
                </w14:textFill>
              </w:rPr>
              <w:t>5</w:t>
            </w:r>
            <w:r>
              <w:rPr>
                <w:rFonts w:hint="eastAsia" w:ascii="仿宋_GB2312" w:hAnsi="仿宋_GB2312" w:eastAsia="仿宋_GB2312" w:cs="仿宋_GB2312"/>
                <w:color w:val="000000" w:themeColor="text1"/>
                <w:kern w:val="0"/>
                <w:sz w:val="24"/>
                <w:szCs w:val="24"/>
                <w:lang w:bidi="ar"/>
                <w14:textFill>
                  <w14:solidFill>
                    <w14:schemeClr w14:val="tx1"/>
                  </w14:solidFill>
                </w14:textFill>
              </w:rPr>
              <w:t>年，建设一支师德高尚、业务水平优良的师资队伍；专任教师中具有博士学位教师的比例为 30%，年龄结构合理，生师比为不超过 17:1。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3011" w:type="dxa"/>
            <w:noWrap w:val="0"/>
            <w:vAlign w:val="center"/>
          </w:tcPr>
          <w:p>
            <w:pPr>
              <w:widowControl/>
              <w:jc w:val="left"/>
              <w:textAlignment w:val="center"/>
              <w:rPr>
                <w:rFonts w:hint="eastAsia" w:ascii="仿宋_GB2312" w:hAnsi="仿宋_GB2312" w:eastAsia="仿宋_GB2312" w:cs="仿宋_GB2312"/>
                <w:color w:val="000000" w:themeColor="text1"/>
                <w:kern w:val="0"/>
                <w:sz w:val="24"/>
                <w:szCs w:val="24"/>
                <w:lang w:bidi="ar"/>
                <w14:textFill>
                  <w14:solidFill>
                    <w14:schemeClr w14:val="tx1"/>
                  </w14:solidFill>
                </w14:textFill>
              </w:rPr>
            </w:pPr>
            <w:r>
              <w:rPr>
                <w:rFonts w:hint="eastAsia" w:ascii="仿宋_GB2312" w:hAnsi="仿宋_GB2312" w:eastAsia="仿宋_GB2312" w:cs="仿宋_GB2312"/>
                <w:color w:val="000000" w:themeColor="text1"/>
                <w:kern w:val="0"/>
                <w:sz w:val="24"/>
                <w:szCs w:val="24"/>
                <w:lang w:bidi="ar"/>
                <w14:textFill>
                  <w14:solidFill>
                    <w14:schemeClr w14:val="tx1"/>
                  </w14:solidFill>
                </w14:textFill>
              </w:rPr>
              <w:t>人才培养质量</w:t>
            </w:r>
          </w:p>
        </w:tc>
        <w:tc>
          <w:tcPr>
            <w:tcW w:w="2924" w:type="dxa"/>
            <w:noWrap w:val="0"/>
            <w:vAlign w:val="center"/>
          </w:tcPr>
          <w:p>
            <w:pPr>
              <w:widowControl/>
              <w:jc w:val="left"/>
              <w:textAlignment w:val="center"/>
              <w:rPr>
                <w:rFonts w:hint="eastAsia" w:ascii="仿宋_GB2312" w:hAnsi="仿宋_GB2312" w:eastAsia="仿宋_GB2312" w:cs="仿宋_GB2312"/>
                <w:color w:val="000000" w:themeColor="text1"/>
                <w:kern w:val="0"/>
                <w:sz w:val="24"/>
                <w:szCs w:val="24"/>
                <w:lang w:bidi="ar"/>
                <w14:textFill>
                  <w14:solidFill>
                    <w14:schemeClr w14:val="tx1"/>
                  </w14:solidFill>
                </w14:textFill>
              </w:rPr>
            </w:pPr>
            <w:r>
              <w:rPr>
                <w:rFonts w:hint="eastAsia" w:ascii="仿宋_GB2312" w:hAnsi="仿宋_GB2312" w:eastAsia="仿宋_GB2312" w:cs="仿宋_GB2312"/>
                <w:color w:val="000000" w:themeColor="text1"/>
                <w:kern w:val="0"/>
                <w:sz w:val="24"/>
                <w:szCs w:val="24"/>
                <w:lang w:bidi="ar"/>
                <w14:textFill>
                  <w14:solidFill>
                    <w14:schemeClr w14:val="tx1"/>
                  </w14:solidFill>
                </w14:textFill>
              </w:rPr>
              <w:t>2021届共有本科毕业生2109人，毕业率为 95.07%，学位授予率93.52%；毕业生总体就业率为91.21%；2020-2021学年，学生参加各类学科专业竞赛荣获奖项96项</w:t>
            </w:r>
            <w:bookmarkStart w:id="1" w:name="_Hlk55916283"/>
            <w:r>
              <w:rPr>
                <w:rFonts w:hint="eastAsia" w:ascii="仿宋_GB2312" w:hAnsi="仿宋_GB2312" w:eastAsia="仿宋_GB2312" w:cs="仿宋_GB2312"/>
                <w:color w:val="000000" w:themeColor="text1"/>
                <w:kern w:val="0"/>
                <w:sz w:val="24"/>
                <w:szCs w:val="24"/>
                <w:lang w:bidi="ar"/>
                <w14:textFill>
                  <w14:solidFill>
                    <w14:schemeClr w14:val="tx1"/>
                  </w14:solidFill>
                </w14:textFill>
              </w:rPr>
              <w:t>；2021届学生中有26位同学考取国内研究生，比</w:t>
            </w:r>
            <w:r>
              <w:rPr>
                <w:rFonts w:hint="eastAsia" w:ascii="仿宋_GB2312" w:hAnsi="仿宋_GB2312" w:eastAsia="仿宋_GB2312" w:cs="仿宋_GB2312"/>
                <w:color w:val="000000" w:themeColor="text1"/>
                <w:kern w:val="0"/>
                <w:sz w:val="24"/>
                <w:szCs w:val="24"/>
                <w:lang w:val="en-US" w:eastAsia="zh-CN" w:bidi="ar"/>
                <w14:textFill>
                  <w14:solidFill>
                    <w14:schemeClr w14:val="tx1"/>
                  </w14:solidFill>
                </w14:textFill>
              </w:rPr>
              <w:t>2020</w:t>
            </w:r>
            <w:r>
              <w:rPr>
                <w:rFonts w:hint="eastAsia" w:ascii="仿宋_GB2312" w:hAnsi="仿宋_GB2312" w:eastAsia="仿宋_GB2312" w:cs="仿宋_GB2312"/>
                <w:color w:val="000000" w:themeColor="text1"/>
                <w:kern w:val="0"/>
                <w:sz w:val="24"/>
                <w:szCs w:val="24"/>
                <w:lang w:bidi="ar"/>
                <w14:textFill>
                  <w14:solidFill>
                    <w14:schemeClr w14:val="tx1"/>
                  </w14:solidFill>
                </w14:textFill>
              </w:rPr>
              <w:t>届增长23%。</w:t>
            </w:r>
            <w:bookmarkEnd w:id="1"/>
            <w:r>
              <w:rPr>
                <w:rFonts w:hint="eastAsia" w:ascii="仿宋_GB2312" w:hAnsi="仿宋_GB2312" w:eastAsia="仿宋_GB2312" w:cs="仿宋_GB2312"/>
                <w:color w:val="000000" w:themeColor="text1"/>
                <w:kern w:val="0"/>
                <w:sz w:val="24"/>
                <w:szCs w:val="24"/>
                <w:lang w:bidi="ar"/>
                <w14:textFill>
                  <w14:solidFill>
                    <w14:schemeClr w14:val="tx1"/>
                  </w14:solidFill>
                </w14:textFill>
              </w:rPr>
              <w:t>出国出境续读研究生共计192名，占全部毕业生的9.6%。用人单位对毕业生满意度达97.48%。</w:t>
            </w:r>
          </w:p>
        </w:tc>
        <w:tc>
          <w:tcPr>
            <w:tcW w:w="3098" w:type="dxa"/>
            <w:noWrap w:val="0"/>
            <w:vAlign w:val="center"/>
          </w:tcPr>
          <w:p>
            <w:pPr>
              <w:widowControl/>
              <w:jc w:val="left"/>
              <w:textAlignment w:val="center"/>
              <w:rPr>
                <w:rFonts w:hint="eastAsia" w:ascii="仿宋_GB2312" w:hAnsi="仿宋_GB2312" w:eastAsia="仿宋_GB2312" w:cs="仿宋_GB2312"/>
                <w:color w:val="000000" w:themeColor="text1"/>
                <w:kern w:val="0"/>
                <w:sz w:val="24"/>
                <w:szCs w:val="24"/>
                <w:lang w:bidi="ar"/>
                <w14:textFill>
                  <w14:solidFill>
                    <w14:schemeClr w14:val="tx1"/>
                  </w14:solidFill>
                </w14:textFill>
              </w:rPr>
            </w:pPr>
            <w:r>
              <w:rPr>
                <w:rFonts w:hint="eastAsia" w:ascii="仿宋_GB2312" w:hAnsi="仿宋_GB2312" w:eastAsia="仿宋_GB2312" w:cs="仿宋_GB2312"/>
                <w:color w:val="000000" w:themeColor="text1"/>
                <w:kern w:val="0"/>
                <w:sz w:val="24"/>
                <w:szCs w:val="24"/>
                <w:lang w:bidi="ar"/>
                <w14:textFill>
                  <w14:solidFill>
                    <w14:schemeClr w14:val="tx1"/>
                  </w14:solidFill>
                </w14:textFill>
              </w:rPr>
              <w:t>2025年，毕业率为 97%，学位授予率95%；毕业生总体就业率为97%</w:t>
            </w:r>
            <w:r>
              <w:rPr>
                <w:rFonts w:hint="eastAsia" w:ascii="仿宋_GB2312" w:hAnsi="仿宋_GB2312" w:eastAsia="仿宋_GB2312" w:cs="仿宋_GB2312"/>
                <w:color w:val="000000" w:themeColor="text1"/>
                <w:kern w:val="0"/>
                <w:sz w:val="24"/>
                <w:szCs w:val="24"/>
                <w:lang w:val="en-US" w:eastAsia="zh-CN" w:bidi="ar"/>
                <w14:textFill>
                  <w14:solidFill>
                    <w14:schemeClr w14:val="tx1"/>
                  </w14:solidFill>
                </w14:textFill>
              </w:rPr>
              <w:t>以上</w:t>
            </w:r>
            <w:r>
              <w:rPr>
                <w:rFonts w:hint="eastAsia" w:ascii="仿宋_GB2312" w:hAnsi="仿宋_GB2312" w:eastAsia="仿宋_GB2312" w:cs="仿宋_GB2312"/>
                <w:color w:val="000000" w:themeColor="text1"/>
                <w:kern w:val="0"/>
                <w:sz w:val="24"/>
                <w:szCs w:val="24"/>
                <w:lang w:bidi="ar"/>
                <w14:textFill>
                  <w14:solidFill>
                    <w14:schemeClr w14:val="tx1"/>
                  </w14:solidFill>
                </w14:textFill>
              </w:rPr>
              <w:t>；2021-2025年，学生参加各类学科专业竞赛奖项150项；国内研究生考取率，比“十三五”时期增长30%。出国出境续读研究生占全部毕业生的15%。用人单位对毕业生满意度达98%</w:t>
            </w:r>
            <w:r>
              <w:rPr>
                <w:rFonts w:hint="eastAsia" w:ascii="仿宋_GB2312" w:hAnsi="仿宋_GB2312" w:eastAsia="仿宋_GB2312" w:cs="仿宋_GB2312"/>
                <w:color w:val="000000" w:themeColor="text1"/>
                <w:kern w:val="0"/>
                <w:sz w:val="24"/>
                <w:szCs w:val="24"/>
                <w:lang w:val="en-US" w:eastAsia="zh-CN" w:bidi="ar"/>
                <w14:textFill>
                  <w14:solidFill>
                    <w14:schemeClr w14:val="tx1"/>
                  </w14:solidFill>
                </w14:textFill>
              </w:rPr>
              <w:t>以上</w:t>
            </w:r>
            <w:r>
              <w:rPr>
                <w:rFonts w:hint="eastAsia" w:ascii="仿宋_GB2312" w:hAnsi="仿宋_GB2312" w:eastAsia="仿宋_GB2312" w:cs="仿宋_GB2312"/>
                <w:color w:val="000000" w:themeColor="text1"/>
                <w:kern w:val="0"/>
                <w:sz w:val="24"/>
                <w:szCs w:val="24"/>
                <w:lang w:bidi="ar"/>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3011" w:type="dxa"/>
            <w:noWrap w:val="0"/>
            <w:vAlign w:val="center"/>
          </w:tcPr>
          <w:p>
            <w:pPr>
              <w:widowControl/>
              <w:jc w:val="left"/>
              <w:textAlignment w:val="center"/>
              <w:rPr>
                <w:rFonts w:hint="eastAsia" w:ascii="仿宋_GB2312" w:hAnsi="仿宋_GB2312" w:eastAsia="仿宋_GB2312" w:cs="仿宋_GB2312"/>
                <w:color w:val="000000" w:themeColor="text1"/>
                <w:kern w:val="0"/>
                <w:sz w:val="24"/>
                <w:szCs w:val="24"/>
                <w:lang w:bidi="ar"/>
                <w14:textFill>
                  <w14:solidFill>
                    <w14:schemeClr w14:val="tx1"/>
                  </w14:solidFill>
                </w14:textFill>
              </w:rPr>
            </w:pPr>
            <w:r>
              <w:rPr>
                <w:rFonts w:hint="eastAsia" w:ascii="仿宋_GB2312" w:hAnsi="仿宋_GB2312" w:eastAsia="仿宋_GB2312" w:cs="仿宋_GB2312"/>
                <w:color w:val="000000" w:themeColor="text1"/>
                <w:kern w:val="0"/>
                <w:sz w:val="24"/>
                <w:szCs w:val="24"/>
                <w:lang w:bidi="ar"/>
                <w14:textFill>
                  <w14:solidFill>
                    <w14:schemeClr w14:val="tx1"/>
                  </w14:solidFill>
                </w14:textFill>
              </w:rPr>
              <w:t>科学研究基础</w:t>
            </w:r>
          </w:p>
        </w:tc>
        <w:tc>
          <w:tcPr>
            <w:tcW w:w="2924" w:type="dxa"/>
            <w:noWrap w:val="0"/>
            <w:vAlign w:val="center"/>
          </w:tcPr>
          <w:p>
            <w:pPr>
              <w:widowControl/>
              <w:jc w:val="left"/>
              <w:textAlignment w:val="center"/>
              <w:rPr>
                <w:rFonts w:hint="eastAsia" w:ascii="仿宋_GB2312" w:hAnsi="仿宋_GB2312" w:eastAsia="仿宋_GB2312" w:cs="仿宋_GB2312"/>
                <w:color w:val="000000" w:themeColor="text1"/>
                <w:kern w:val="0"/>
                <w:sz w:val="24"/>
                <w:szCs w:val="24"/>
                <w:lang w:bidi="ar"/>
                <w14:textFill>
                  <w14:solidFill>
                    <w14:schemeClr w14:val="tx1"/>
                  </w14:solidFill>
                </w14:textFill>
              </w:rPr>
            </w:pPr>
            <w:r>
              <w:rPr>
                <w:rFonts w:hint="eastAsia" w:ascii="仿宋_GB2312" w:hAnsi="仿宋_GB2312" w:eastAsia="仿宋_GB2312" w:cs="仿宋_GB2312"/>
                <w:color w:val="000000" w:themeColor="text1"/>
                <w:kern w:val="0"/>
                <w:sz w:val="24"/>
                <w:szCs w:val="24"/>
                <w:lang w:bidi="ar"/>
                <w14:textFill>
                  <w14:solidFill>
                    <w14:schemeClr w14:val="tx1"/>
                  </w14:solidFill>
                </w14:textFill>
              </w:rPr>
              <w:t>目前承担省部级科研项目6项，横向科研项目4项。近 5 年，师均年科研经费 0.4万元。获得2项省部级及以上科研奖励，有3项科研成果直接服务经济社会发展， 取得了较好的经济与社会效益。</w:t>
            </w:r>
          </w:p>
        </w:tc>
        <w:tc>
          <w:tcPr>
            <w:tcW w:w="3098" w:type="dxa"/>
            <w:noWrap w:val="0"/>
            <w:vAlign w:val="center"/>
          </w:tcPr>
          <w:p>
            <w:pPr>
              <w:widowControl/>
              <w:jc w:val="left"/>
              <w:textAlignment w:val="center"/>
              <w:rPr>
                <w:rFonts w:hint="eastAsia" w:ascii="仿宋_GB2312" w:hAnsi="仿宋_GB2312" w:eastAsia="仿宋_GB2312" w:cs="仿宋_GB2312"/>
                <w:color w:val="000000" w:themeColor="text1"/>
                <w:kern w:val="0"/>
                <w:sz w:val="24"/>
                <w:szCs w:val="24"/>
                <w:lang w:bidi="ar"/>
                <w14:textFill>
                  <w14:solidFill>
                    <w14:schemeClr w14:val="tx1"/>
                  </w14:solidFill>
                </w14:textFill>
              </w:rPr>
            </w:pPr>
            <w:r>
              <w:rPr>
                <w:rFonts w:hint="eastAsia" w:ascii="仿宋_GB2312" w:hAnsi="仿宋_GB2312" w:eastAsia="仿宋_GB2312" w:cs="仿宋_GB2312"/>
                <w:color w:val="000000" w:themeColor="text1"/>
                <w:kern w:val="0"/>
                <w:sz w:val="24"/>
                <w:szCs w:val="24"/>
                <w:lang w:bidi="ar"/>
                <w14:textFill>
                  <w14:solidFill>
                    <w14:schemeClr w14:val="tx1"/>
                  </w14:solidFill>
                </w14:textFill>
              </w:rPr>
              <w:t>2025年科技经费拨入总额（人文社科类） 年均增长50%以上，专任教师年均科研经费达1万元以上。力争新增国家级科研项目2项以上</w:t>
            </w:r>
            <w:r>
              <w:rPr>
                <w:rFonts w:hint="eastAsia" w:ascii="仿宋_GB2312" w:hAnsi="仿宋_GB2312" w:eastAsia="仿宋_GB2312" w:cs="仿宋_GB2312"/>
                <w:color w:val="000000" w:themeColor="text1"/>
                <w:kern w:val="0"/>
                <w:sz w:val="24"/>
                <w:szCs w:val="24"/>
                <w:lang w:eastAsia="zh-CN" w:bidi="ar"/>
                <w14:textFill>
                  <w14:solidFill>
                    <w14:schemeClr w14:val="tx1"/>
                  </w14:solidFill>
                </w14:textFill>
              </w:rPr>
              <w:t>，</w:t>
            </w:r>
            <w:r>
              <w:rPr>
                <w:rFonts w:hint="eastAsia" w:ascii="仿宋_GB2312" w:hAnsi="仿宋_GB2312" w:eastAsia="仿宋_GB2312" w:cs="仿宋_GB2312"/>
                <w:color w:val="000000" w:themeColor="text1"/>
                <w:kern w:val="0"/>
                <w:sz w:val="24"/>
                <w:szCs w:val="24"/>
                <w:lang w:bidi="ar"/>
                <w14:textFill>
                  <w14:solidFill>
                    <w14:schemeClr w14:val="tx1"/>
                  </w14:solidFill>
                </w14:textFill>
              </w:rPr>
              <w:t>省部级科研项目2项以上，产教融合的横向科研项目8项。师均年科研经费</w:t>
            </w:r>
            <w:r>
              <w:rPr>
                <w:rFonts w:hint="eastAsia" w:ascii="仿宋_GB2312" w:hAnsi="仿宋_GB2312" w:eastAsia="仿宋_GB2312" w:cs="仿宋_GB2312"/>
                <w:color w:val="000000" w:themeColor="text1"/>
                <w:kern w:val="0"/>
                <w:sz w:val="24"/>
                <w:szCs w:val="24"/>
                <w:lang w:val="en-US" w:eastAsia="zh-CN" w:bidi="ar"/>
                <w14:textFill>
                  <w14:solidFill>
                    <w14:schemeClr w14:val="tx1"/>
                  </w14:solidFill>
                </w14:textFill>
              </w:rPr>
              <w:t>1</w:t>
            </w:r>
            <w:r>
              <w:rPr>
                <w:rFonts w:hint="eastAsia" w:ascii="仿宋_GB2312" w:hAnsi="仿宋_GB2312" w:eastAsia="仿宋_GB2312" w:cs="仿宋_GB2312"/>
                <w:color w:val="000000" w:themeColor="text1"/>
                <w:kern w:val="0"/>
                <w:sz w:val="24"/>
                <w:szCs w:val="24"/>
                <w:lang w:bidi="ar"/>
                <w14:textFill>
                  <w14:solidFill>
                    <w14:schemeClr w14:val="tx1"/>
                  </w14:solidFill>
                </w14:textFill>
              </w:rPr>
              <w:t>万元以上。获得省部级科研奖励</w:t>
            </w:r>
            <w:r>
              <w:rPr>
                <w:rFonts w:hint="eastAsia" w:ascii="仿宋_GB2312" w:hAnsi="仿宋_GB2312" w:eastAsia="仿宋_GB2312" w:cs="仿宋_GB2312"/>
                <w:color w:val="000000" w:themeColor="text1"/>
                <w:kern w:val="0"/>
                <w:sz w:val="24"/>
                <w:szCs w:val="24"/>
                <w:lang w:val="en-US" w:eastAsia="zh-CN" w:bidi="ar"/>
                <w14:textFill>
                  <w14:solidFill>
                    <w14:schemeClr w14:val="tx1"/>
                  </w14:solidFill>
                </w14:textFill>
              </w:rPr>
              <w:t>3</w:t>
            </w:r>
            <w:r>
              <w:rPr>
                <w:rFonts w:hint="eastAsia" w:ascii="仿宋_GB2312" w:hAnsi="仿宋_GB2312" w:eastAsia="仿宋_GB2312" w:cs="仿宋_GB2312"/>
                <w:color w:val="000000" w:themeColor="text1"/>
                <w:kern w:val="0"/>
                <w:sz w:val="24"/>
                <w:szCs w:val="24"/>
                <w:lang w:bidi="ar"/>
                <w14:textFill>
                  <w14:solidFill>
                    <w14:schemeClr w14:val="tx1"/>
                  </w14:solidFill>
                </w14:textFill>
              </w:rPr>
              <w:t>项，直接服务经济社会发展科研成果</w:t>
            </w:r>
            <w:r>
              <w:rPr>
                <w:rFonts w:hint="eastAsia" w:ascii="仿宋_GB2312" w:hAnsi="仿宋_GB2312" w:eastAsia="仿宋_GB2312" w:cs="仿宋_GB2312"/>
                <w:color w:val="000000" w:themeColor="text1"/>
                <w:kern w:val="0"/>
                <w:sz w:val="24"/>
                <w:szCs w:val="24"/>
                <w:lang w:val="en-US" w:eastAsia="zh-CN" w:bidi="ar"/>
                <w14:textFill>
                  <w14:solidFill>
                    <w14:schemeClr w14:val="tx1"/>
                  </w14:solidFill>
                </w14:textFill>
              </w:rPr>
              <w:t>数量达6项以上</w:t>
            </w:r>
            <w:r>
              <w:rPr>
                <w:rFonts w:hint="eastAsia" w:ascii="仿宋_GB2312" w:hAnsi="仿宋_GB2312" w:eastAsia="仿宋_GB2312" w:cs="仿宋_GB2312"/>
                <w:color w:val="000000" w:themeColor="text1"/>
                <w:kern w:val="0"/>
                <w:sz w:val="24"/>
                <w:szCs w:val="24"/>
                <w:lang w:bidi="ar"/>
                <w14:textFill>
                  <w14:solidFill>
                    <w14:schemeClr w14:val="tx1"/>
                  </w14:solidFill>
                </w14:textFill>
              </w:rPr>
              <w:t>， 服务地方经济社会能力明显提升</w:t>
            </w:r>
            <w:r>
              <w:rPr>
                <w:rFonts w:hint="eastAsia" w:ascii="仿宋_GB2312" w:hAnsi="仿宋_GB2312" w:eastAsia="仿宋_GB2312" w:cs="仿宋_GB2312"/>
                <w:color w:val="000000" w:themeColor="text1"/>
                <w:kern w:val="0"/>
                <w:sz w:val="24"/>
                <w:szCs w:val="24"/>
                <w:lang w:eastAsia="zh-CN" w:bidi="ar"/>
                <w14:textFill>
                  <w14:solidFill>
                    <w14:schemeClr w14:val="tx1"/>
                  </w14:solidFill>
                </w14:textFill>
              </w:rPr>
              <w:t>，</w:t>
            </w:r>
            <w:r>
              <w:rPr>
                <w:rFonts w:hint="eastAsia" w:ascii="仿宋_GB2312" w:hAnsi="仿宋_GB2312" w:eastAsia="仿宋_GB2312" w:cs="仿宋_GB2312"/>
                <w:color w:val="000000" w:themeColor="text1"/>
                <w:kern w:val="0"/>
                <w:sz w:val="24"/>
                <w:szCs w:val="24"/>
                <w:lang w:bidi="ar"/>
                <w14:textFill>
                  <w14:solidFill>
                    <w14:schemeClr w14:val="tx1"/>
                  </w14:solidFill>
                </w14:textFill>
              </w:rPr>
              <w:t>取得良好的经济与社会效益。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3011" w:type="dxa"/>
            <w:noWrap w:val="0"/>
            <w:vAlign w:val="center"/>
          </w:tcPr>
          <w:p>
            <w:pPr>
              <w:widowControl/>
              <w:jc w:val="left"/>
              <w:textAlignment w:val="center"/>
              <w:rPr>
                <w:rFonts w:hint="eastAsia" w:ascii="仿宋_GB2312" w:hAnsi="仿宋_GB2312" w:eastAsia="仿宋_GB2312" w:cs="仿宋_GB2312"/>
                <w:color w:val="000000" w:themeColor="text1"/>
                <w:kern w:val="0"/>
                <w:sz w:val="24"/>
                <w:szCs w:val="24"/>
                <w:lang w:bidi="ar"/>
                <w14:textFill>
                  <w14:solidFill>
                    <w14:schemeClr w14:val="tx1"/>
                  </w14:solidFill>
                </w14:textFill>
              </w:rPr>
            </w:pPr>
            <w:r>
              <w:rPr>
                <w:rFonts w:hint="eastAsia" w:ascii="仿宋_GB2312" w:hAnsi="仿宋_GB2312" w:eastAsia="仿宋_GB2312" w:cs="仿宋_GB2312"/>
                <w:color w:val="000000" w:themeColor="text1"/>
                <w:kern w:val="0"/>
                <w:sz w:val="24"/>
                <w:szCs w:val="24"/>
                <w:lang w:bidi="ar"/>
                <w14:textFill>
                  <w14:solidFill>
                    <w14:schemeClr w14:val="tx1"/>
                  </w14:solidFill>
                </w14:textFill>
              </w:rPr>
              <w:t>教学基本条件</w:t>
            </w:r>
          </w:p>
        </w:tc>
        <w:tc>
          <w:tcPr>
            <w:tcW w:w="2924" w:type="dxa"/>
            <w:noWrap w:val="0"/>
            <w:vAlign w:val="center"/>
          </w:tcPr>
          <w:p>
            <w:pPr>
              <w:widowControl/>
              <w:jc w:val="left"/>
              <w:textAlignment w:val="center"/>
              <w:rPr>
                <w:rFonts w:hint="eastAsia" w:ascii="仿宋_GB2312" w:hAnsi="仿宋_GB2312" w:eastAsia="仿宋_GB2312" w:cs="仿宋_GB2312"/>
                <w:color w:val="000000" w:themeColor="text1"/>
                <w:kern w:val="0"/>
                <w:sz w:val="24"/>
                <w:szCs w:val="24"/>
                <w:lang w:bidi="ar"/>
                <w14:textFill>
                  <w14:solidFill>
                    <w14:schemeClr w14:val="tx1"/>
                  </w14:solidFill>
                </w14:textFill>
              </w:rPr>
            </w:pPr>
            <w:r>
              <w:rPr>
                <w:rFonts w:hint="eastAsia" w:ascii="仿宋_GB2312" w:hAnsi="仿宋_GB2312" w:eastAsia="仿宋_GB2312" w:cs="仿宋_GB2312"/>
                <w:color w:val="000000" w:themeColor="text1"/>
                <w:kern w:val="0"/>
                <w:sz w:val="24"/>
                <w:szCs w:val="24"/>
                <w:lang w:bidi="ar"/>
                <w14:textFill>
                  <w14:solidFill>
                    <w14:schemeClr w14:val="tx1"/>
                  </w14:solidFill>
                </w14:textFill>
              </w:rPr>
              <w:t>学校拥有充足的教学科研仪器设备、现有实验实训室共115间，面积8185㎡,在建实验教学中心拟建建筑面积24997.75㎡;教学、科研仪器设备资产值4987.87（万元），拥有校外固定实习基地161个。图书馆现有纸质藏书74.46万册，生均86册。学校生均经费收入为 3.8万元。</w:t>
            </w:r>
          </w:p>
          <w:p>
            <w:pPr>
              <w:widowControl/>
              <w:jc w:val="left"/>
              <w:textAlignment w:val="center"/>
              <w:rPr>
                <w:rFonts w:hint="eastAsia" w:ascii="仿宋_GB2312" w:hAnsi="仿宋_GB2312" w:eastAsia="仿宋_GB2312" w:cs="仿宋_GB2312"/>
                <w:color w:val="000000" w:themeColor="text1"/>
                <w:kern w:val="0"/>
                <w:sz w:val="24"/>
                <w:szCs w:val="24"/>
                <w:lang w:bidi="ar"/>
                <w14:textFill>
                  <w14:solidFill>
                    <w14:schemeClr w14:val="tx1"/>
                  </w14:solidFill>
                </w14:textFill>
              </w:rPr>
            </w:pPr>
          </w:p>
        </w:tc>
        <w:tc>
          <w:tcPr>
            <w:tcW w:w="3098" w:type="dxa"/>
            <w:noWrap w:val="0"/>
            <w:vAlign w:val="center"/>
          </w:tcPr>
          <w:p>
            <w:pPr>
              <w:widowControl/>
              <w:jc w:val="left"/>
              <w:textAlignment w:val="center"/>
              <w:rPr>
                <w:rFonts w:hint="default" w:ascii="仿宋_GB2312" w:hAnsi="仿宋_GB2312" w:eastAsia="仿宋_GB2312" w:cs="仿宋_GB2312"/>
                <w:color w:val="000000" w:themeColor="text1"/>
                <w:kern w:val="0"/>
                <w:sz w:val="24"/>
                <w:szCs w:val="24"/>
                <w:lang w:val="en-US" w:bidi="ar"/>
                <w14:textFill>
                  <w14:solidFill>
                    <w14:schemeClr w14:val="tx1"/>
                  </w14:solidFill>
                </w14:textFill>
              </w:rPr>
            </w:pPr>
            <w:r>
              <w:rPr>
                <w:rFonts w:hint="eastAsia" w:ascii="仿宋_GB2312" w:hAnsi="仿宋_GB2312" w:eastAsia="仿宋_GB2312" w:cs="仿宋_GB2312"/>
                <w:color w:val="000000" w:themeColor="text1"/>
                <w:kern w:val="0"/>
                <w:sz w:val="24"/>
                <w:szCs w:val="24"/>
                <w:lang w:bidi="ar"/>
                <w14:textFill>
                  <w14:solidFill>
                    <w14:schemeClr w14:val="tx1"/>
                  </w14:solidFill>
                </w14:textFill>
              </w:rPr>
              <w:t>建成具有支撑硕士研究生培养所必需的实验室、基地等教学实践平台；与行业、企业共建设专业</w:t>
            </w:r>
            <w:r>
              <w:rPr>
                <w:rFonts w:hint="eastAsia" w:ascii="仿宋_GB2312" w:hAnsi="仿宋_GB2312" w:eastAsia="仿宋_GB2312" w:cs="仿宋_GB2312"/>
                <w:color w:val="000000" w:themeColor="text1"/>
                <w:kern w:val="0"/>
                <w:sz w:val="24"/>
                <w:szCs w:val="24"/>
                <w:lang w:val="en-US" w:eastAsia="zh-CN" w:bidi="ar"/>
                <w14:textFill>
                  <w14:solidFill>
                    <w14:schemeClr w14:val="tx1"/>
                  </w14:solidFill>
                </w14:textFill>
              </w:rPr>
              <w:t>硕士研究生教育基地。</w:t>
            </w:r>
            <w:r>
              <w:rPr>
                <w:rFonts w:hint="eastAsia" w:ascii="仿宋_GB2312" w:hAnsi="仿宋_GB2312" w:eastAsia="仿宋_GB2312" w:cs="仿宋_GB2312"/>
                <w:color w:val="000000" w:themeColor="text1"/>
                <w:kern w:val="0"/>
                <w:sz w:val="24"/>
                <w:szCs w:val="24"/>
                <w:lang w:bidi="ar"/>
                <w14:textFill>
                  <w14:solidFill>
                    <w14:schemeClr w14:val="tx1"/>
                  </w14:solidFill>
                </w14:textFill>
              </w:rPr>
              <w:t>图书馆纸质藏书达100万册，生均100册，国内学术交流与合作活跃，与行业、企业等有实质性合作成果；学校生均经费收入不低于4万元。</w:t>
            </w:r>
            <w:r>
              <w:rPr>
                <w:rFonts w:hint="eastAsia" w:ascii="仿宋_GB2312" w:hAnsi="仿宋_GB2312" w:eastAsia="仿宋_GB2312" w:cs="仿宋_GB2312"/>
                <w:color w:val="000000" w:themeColor="text1"/>
                <w:kern w:val="0"/>
                <w:sz w:val="24"/>
                <w:szCs w:val="24"/>
                <w:lang w:val="en-US" w:eastAsia="zh-CN" w:bidi="ar"/>
                <w14:textFill>
                  <w14:solidFill>
                    <w14:schemeClr w14:val="tx1"/>
                  </w14:solidFill>
                </w14:textFill>
              </w:rPr>
              <w:t>编写翻译、金融、艺术专业硕士研究生培养方案。开发翻译、金融、艺术专业硕士研究生培养课程体系。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3011" w:type="dxa"/>
            <w:noWrap w:val="0"/>
            <w:vAlign w:val="center"/>
          </w:tcPr>
          <w:p>
            <w:pPr>
              <w:widowControl/>
              <w:jc w:val="left"/>
              <w:textAlignment w:val="center"/>
              <w:rPr>
                <w:rFonts w:hint="eastAsia" w:ascii="仿宋_GB2312" w:hAnsi="仿宋_GB2312" w:eastAsia="仿宋_GB2312" w:cs="仿宋_GB2312"/>
                <w:color w:val="000000" w:themeColor="text1"/>
                <w:kern w:val="0"/>
                <w:sz w:val="24"/>
                <w:szCs w:val="24"/>
                <w:lang w:bidi="ar"/>
                <w14:textFill>
                  <w14:solidFill>
                    <w14:schemeClr w14:val="tx1"/>
                  </w14:solidFill>
                </w14:textFill>
              </w:rPr>
            </w:pPr>
            <w:r>
              <w:rPr>
                <w:rFonts w:hint="eastAsia" w:ascii="仿宋_GB2312" w:hAnsi="仿宋_GB2312" w:eastAsia="仿宋_GB2312" w:cs="仿宋_GB2312"/>
                <w:color w:val="000000" w:themeColor="text1"/>
                <w:kern w:val="0"/>
                <w:sz w:val="24"/>
                <w:szCs w:val="24"/>
                <w:lang w:bidi="ar"/>
                <w14:textFill>
                  <w14:solidFill>
                    <w14:schemeClr w14:val="tx1"/>
                  </w14:solidFill>
                </w14:textFill>
              </w:rPr>
              <w:t>教学管理制度与机构</w:t>
            </w:r>
          </w:p>
        </w:tc>
        <w:tc>
          <w:tcPr>
            <w:tcW w:w="2924" w:type="dxa"/>
            <w:noWrap w:val="0"/>
            <w:vAlign w:val="center"/>
          </w:tcPr>
          <w:p>
            <w:pPr>
              <w:widowControl/>
              <w:jc w:val="left"/>
              <w:textAlignment w:val="center"/>
              <w:rPr>
                <w:rFonts w:hint="eastAsia" w:ascii="仿宋_GB2312" w:hAnsi="仿宋_GB2312" w:eastAsia="仿宋_GB2312" w:cs="仿宋_GB2312"/>
                <w:color w:val="000000" w:themeColor="text1"/>
                <w:kern w:val="0"/>
                <w:sz w:val="24"/>
                <w:szCs w:val="24"/>
                <w:lang w:bidi="ar"/>
                <w14:textFill>
                  <w14:solidFill>
                    <w14:schemeClr w14:val="tx1"/>
                  </w14:solidFill>
                </w14:textFill>
              </w:rPr>
            </w:pPr>
            <w:r>
              <w:rPr>
                <w:rFonts w:hint="eastAsia" w:ascii="仿宋_GB2312" w:hAnsi="仿宋_GB2312" w:eastAsia="仿宋_GB2312" w:cs="仿宋_GB2312"/>
                <w:color w:val="000000" w:themeColor="text1"/>
                <w:kern w:val="0"/>
                <w:sz w:val="24"/>
                <w:szCs w:val="24"/>
                <w:lang w:bidi="ar"/>
                <w14:textFill>
                  <w14:solidFill>
                    <w14:schemeClr w14:val="tx1"/>
                  </w14:solidFill>
                </w14:textFill>
              </w:rPr>
              <w:t>学校教育管理机构健全，专职管理人员配置合理，规章制度完善，执行情况较好。</w:t>
            </w:r>
          </w:p>
        </w:tc>
        <w:tc>
          <w:tcPr>
            <w:tcW w:w="3098" w:type="dxa"/>
            <w:noWrap w:val="0"/>
            <w:vAlign w:val="center"/>
          </w:tcPr>
          <w:p>
            <w:pPr>
              <w:widowControl/>
              <w:jc w:val="left"/>
              <w:textAlignment w:val="center"/>
              <w:rPr>
                <w:rFonts w:hint="eastAsia" w:ascii="仿宋_GB2312" w:hAnsi="仿宋_GB2312" w:eastAsia="仿宋_GB2312" w:cs="仿宋_GB2312"/>
                <w:color w:val="000000" w:themeColor="text1"/>
                <w:kern w:val="0"/>
                <w:sz w:val="24"/>
                <w:szCs w:val="24"/>
                <w:lang w:bidi="ar"/>
                <w14:textFill>
                  <w14:solidFill>
                    <w14:schemeClr w14:val="tx1"/>
                  </w14:solidFill>
                </w14:textFill>
              </w:rPr>
            </w:pPr>
            <w:r>
              <w:rPr>
                <w:rFonts w:hint="eastAsia" w:ascii="仿宋_GB2312" w:hAnsi="仿宋_GB2312" w:eastAsia="仿宋_GB2312" w:cs="仿宋_GB2312"/>
                <w:color w:val="000000" w:themeColor="text1"/>
                <w:kern w:val="0"/>
                <w:sz w:val="24"/>
                <w:szCs w:val="24"/>
                <w:lang w:bidi="ar"/>
                <w14:textFill>
                  <w14:solidFill>
                    <w14:schemeClr w14:val="tx1"/>
                  </w14:solidFill>
                </w14:textFill>
              </w:rPr>
              <w:t>2025年学校研究生教育管理机构健全，专职管理人员配置合理，规章制度完善，执行情况好。有完善的研究生奖助 体系，公共服务体系完备。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9033" w:type="dxa"/>
            <w:gridSpan w:val="3"/>
            <w:noWrap w:val="0"/>
            <w:vAlign w:val="top"/>
          </w:tcPr>
          <w:p>
            <w:pPr>
              <w:widowControl/>
              <w:jc w:val="left"/>
              <w:textAlignment w:val="center"/>
              <w:rPr>
                <w:rFonts w:hint="eastAsia" w:ascii="仿宋_GB2312" w:hAnsi="仿宋_GB2312" w:eastAsia="仿宋_GB2312" w:cs="仿宋_GB2312"/>
                <w:color w:val="000000" w:themeColor="text1"/>
                <w:kern w:val="0"/>
                <w:sz w:val="24"/>
                <w:szCs w:val="24"/>
                <w:lang w:bidi="ar"/>
                <w14:textFill>
                  <w14:solidFill>
                    <w14:schemeClr w14:val="tx1"/>
                  </w14:solidFill>
                </w14:textFill>
              </w:rPr>
            </w:pPr>
            <w:r>
              <w:rPr>
                <w:rFonts w:hint="eastAsia" w:ascii="仿宋_GB2312" w:hAnsi="仿宋_GB2312" w:eastAsia="仿宋_GB2312" w:cs="仿宋_GB2312"/>
                <w:color w:val="000000" w:themeColor="text1"/>
                <w:kern w:val="0"/>
                <w:sz w:val="24"/>
                <w:szCs w:val="24"/>
                <w:lang w:bidi="ar"/>
                <w14:textFill>
                  <w14:solidFill>
                    <w14:schemeClr w14:val="tx1"/>
                  </w14:solidFill>
                </w14:textFill>
              </w:rPr>
              <w:t>（二）对标《学位授权审核申请基本条件（2020）》的主要问题与短板</w:t>
            </w:r>
          </w:p>
          <w:p>
            <w:pPr>
              <w:widowControl/>
              <w:jc w:val="left"/>
              <w:textAlignment w:val="center"/>
              <w:rPr>
                <w:rFonts w:hint="eastAsia" w:ascii="仿宋_GB2312" w:hAnsi="仿宋_GB2312" w:eastAsia="仿宋_GB2312" w:cs="仿宋_GB2312"/>
                <w:color w:val="000000" w:themeColor="text1"/>
                <w:kern w:val="0"/>
                <w:sz w:val="24"/>
                <w:szCs w:val="24"/>
                <w:lang w:bidi="ar"/>
                <w14:textFill>
                  <w14:solidFill>
                    <w14:schemeClr w14:val="tx1"/>
                  </w14:solidFill>
                </w14:textFill>
              </w:rPr>
            </w:pPr>
            <w:r>
              <w:rPr>
                <w:rFonts w:hint="eastAsia" w:ascii="仿宋_GB2312" w:hAnsi="仿宋_GB2312" w:eastAsia="仿宋_GB2312" w:cs="仿宋_GB2312"/>
                <w:color w:val="000000" w:themeColor="text1"/>
                <w:kern w:val="0"/>
                <w:sz w:val="24"/>
                <w:szCs w:val="24"/>
                <w:lang w:bidi="ar"/>
                <w14:textFill>
                  <w14:solidFill>
                    <w14:schemeClr w14:val="tx1"/>
                  </w14:solidFill>
                </w14:textFill>
              </w:rPr>
              <w:t>1.随着学校办学规模的逐步扩大，师资队伍的数量和结构需要改善。高层次领军人才的数量有待增加，生师比为19.7：1，与不超过17：1的标准尚有差距。</w:t>
            </w:r>
          </w:p>
          <w:p>
            <w:pPr>
              <w:widowControl/>
              <w:jc w:val="left"/>
              <w:textAlignment w:val="center"/>
              <w:rPr>
                <w:rFonts w:hint="eastAsia" w:ascii="仿宋_GB2312" w:hAnsi="仿宋_GB2312" w:eastAsia="仿宋_GB2312" w:cs="仿宋_GB2312"/>
                <w:color w:val="000000" w:themeColor="text1"/>
                <w:kern w:val="0"/>
                <w:sz w:val="24"/>
                <w:szCs w:val="24"/>
                <w:lang w:bidi="ar"/>
                <w14:textFill>
                  <w14:solidFill>
                    <w14:schemeClr w14:val="tx1"/>
                  </w14:solidFill>
                </w14:textFill>
              </w:rPr>
            </w:pPr>
            <w:r>
              <w:rPr>
                <w:rFonts w:hint="eastAsia" w:ascii="仿宋_GB2312" w:hAnsi="仿宋_GB2312" w:eastAsia="仿宋_GB2312" w:cs="仿宋_GB2312"/>
                <w:color w:val="000000" w:themeColor="text1"/>
                <w:kern w:val="0"/>
                <w:sz w:val="24"/>
                <w:szCs w:val="24"/>
                <w:lang w:bidi="ar"/>
                <w14:textFill>
                  <w14:solidFill>
                    <w14:schemeClr w14:val="tx1"/>
                  </w14:solidFill>
                </w14:textFill>
              </w:rPr>
              <w:t>2.学科专业布局与特色发展尚需加强，一流本科专业、一流本科课程建设目前还没有取得突破性进展。学科结构布局需进一步优化，文、经、管学科需加强特色发展，并提前谋划学科布局与经济社会发展趋势相匹配的新兴学科和专业，探索各学科之间的交叉、融合与渗透，依托优势学科专业培育交叉学科方向，打造特色学科专业群。</w:t>
            </w:r>
          </w:p>
          <w:p>
            <w:pPr>
              <w:widowControl/>
              <w:jc w:val="left"/>
              <w:textAlignment w:val="center"/>
              <w:rPr>
                <w:rFonts w:hint="eastAsia" w:ascii="仿宋_GB2312" w:hAnsi="仿宋_GB2312" w:eastAsia="仿宋_GB2312" w:cs="仿宋_GB2312"/>
                <w:color w:val="000000" w:themeColor="text1"/>
                <w:kern w:val="0"/>
                <w:sz w:val="24"/>
                <w:szCs w:val="24"/>
                <w:lang w:bidi="ar"/>
                <w14:textFill>
                  <w14:solidFill>
                    <w14:schemeClr w14:val="tx1"/>
                  </w14:solidFill>
                </w14:textFill>
              </w:rPr>
            </w:pPr>
            <w:r>
              <w:rPr>
                <w:rFonts w:hint="eastAsia" w:ascii="仿宋_GB2312" w:hAnsi="仿宋_GB2312" w:eastAsia="仿宋_GB2312" w:cs="仿宋_GB2312"/>
                <w:color w:val="000000" w:themeColor="text1"/>
                <w:kern w:val="0"/>
                <w:sz w:val="24"/>
                <w:szCs w:val="24"/>
                <w:lang w:bidi="ar"/>
                <w14:textFill>
                  <w14:solidFill>
                    <w14:schemeClr w14:val="tx1"/>
                  </w14:solidFill>
                </w14:textFill>
              </w:rPr>
              <w:t xml:space="preserve">3.科研方面存在高水平创新团队不足现象，应用研究水平和产学研结合的社会服务能力有待提升，具有重要影响力的省部级科研立项和原创性科研成果有待突破。 </w:t>
            </w:r>
          </w:p>
          <w:p>
            <w:pPr>
              <w:widowControl/>
              <w:jc w:val="left"/>
              <w:textAlignment w:val="center"/>
              <w:rPr>
                <w:rFonts w:hint="default" w:ascii="仿宋_GB2312" w:hAnsi="仿宋_GB2312" w:eastAsia="仿宋_GB2312" w:cs="仿宋_GB2312"/>
                <w:color w:val="000000" w:themeColor="text1"/>
                <w:kern w:val="0"/>
                <w:sz w:val="24"/>
                <w:szCs w:val="24"/>
                <w:lang w:val="en-US" w:bidi="ar"/>
                <w14:textFill>
                  <w14:solidFill>
                    <w14:schemeClr w14:val="tx1"/>
                  </w14:solidFill>
                </w14:textFill>
              </w:rPr>
            </w:pPr>
            <w:r>
              <w:rPr>
                <w:rFonts w:hint="eastAsia" w:ascii="仿宋_GB2312" w:hAnsi="仿宋_GB2312" w:eastAsia="仿宋_GB2312" w:cs="仿宋_GB2312"/>
                <w:color w:val="000000" w:themeColor="text1"/>
                <w:kern w:val="0"/>
                <w:sz w:val="24"/>
                <w:szCs w:val="24"/>
                <w:lang w:val="en-US" w:eastAsia="zh-CN" w:bidi="ar"/>
                <w14:textFill>
                  <w14:solidFill>
                    <w14:schemeClr w14:val="tx1"/>
                  </w14:solidFill>
                </w14:textFill>
              </w:rPr>
              <w:t>4</w:t>
            </w:r>
            <w:r>
              <w:rPr>
                <w:rFonts w:hint="eastAsia" w:ascii="仿宋_GB2312" w:hAnsi="仿宋_GB2312" w:eastAsia="仿宋_GB2312" w:cs="仿宋_GB2312"/>
                <w:color w:val="000000" w:themeColor="text1"/>
                <w:kern w:val="0"/>
                <w:sz w:val="24"/>
                <w:szCs w:val="24"/>
                <w:lang w:bidi="ar"/>
                <w14:textFill>
                  <w14:solidFill>
                    <w14:schemeClr w14:val="tx1"/>
                  </w14:solidFill>
                </w14:textFill>
              </w:rPr>
              <w:t>.</w:t>
            </w:r>
            <w:r>
              <w:rPr>
                <w:rFonts w:hint="eastAsia" w:ascii="仿宋_GB2312" w:hAnsi="仿宋_GB2312" w:eastAsia="仿宋_GB2312" w:cs="仿宋_GB2312"/>
                <w:color w:val="000000" w:themeColor="text1"/>
                <w:kern w:val="0"/>
                <w:sz w:val="24"/>
                <w:szCs w:val="24"/>
                <w:lang w:val="en-US" w:eastAsia="zh-CN" w:bidi="ar"/>
                <w14:textFill>
                  <w14:solidFill>
                    <w14:schemeClr w14:val="tx1"/>
                  </w14:solidFill>
                </w14:textFill>
              </w:rPr>
              <w:t>研究生教育条件尚存不足，努力通过培育建设达到专业硕士研究生培养条件。</w:t>
            </w:r>
          </w:p>
        </w:tc>
      </w:tr>
    </w:tbl>
    <w:p>
      <w:pPr>
        <w:rPr>
          <w:color w:val="000000"/>
        </w:rPr>
      </w:pPr>
      <w:r>
        <w:rPr>
          <w:rFonts w:hint="eastAsia" w:ascii="黑体" w:hAnsi="黑体" w:eastAsia="黑体" w:cs="黑体"/>
          <w:bCs/>
          <w:color w:val="000000"/>
          <w:sz w:val="30"/>
          <w:szCs w:val="30"/>
        </w:rPr>
        <w:t>三、授予单位建设任务与举措</w:t>
      </w:r>
    </w:p>
    <w:tbl>
      <w:tblPr>
        <w:tblStyle w:val="9"/>
        <w:tblW w:w="871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7" w:hRule="atLeast"/>
          <w:jc w:val="center"/>
        </w:trPr>
        <w:tc>
          <w:tcPr>
            <w:tcW w:w="8711" w:type="dxa"/>
            <w:noWrap w:val="0"/>
            <w:vAlign w:val="top"/>
          </w:tcPr>
          <w:p>
            <w:pPr>
              <w:widowControl/>
              <w:jc w:val="left"/>
              <w:rPr>
                <w:rFonts w:hint="eastAsia" w:ascii="仿宋_GB2312" w:hAnsi="仿宋_GB2312" w:eastAsia="仿宋_GB2312" w:cs="仿宋_GB2312"/>
                <w:color w:val="000000"/>
                <w:kern w:val="0"/>
                <w:sz w:val="28"/>
                <w:szCs w:val="28"/>
                <w:lang w:bidi="ar"/>
              </w:rPr>
            </w:pPr>
            <w:r>
              <w:rPr>
                <w:rFonts w:hint="eastAsia" w:ascii="仿宋_GB2312" w:hAnsi="仿宋_GB2312" w:eastAsia="仿宋_GB2312" w:cs="仿宋_GB2312"/>
                <w:b/>
                <w:bCs/>
                <w:color w:val="000000"/>
                <w:kern w:val="0"/>
                <w:sz w:val="28"/>
                <w:szCs w:val="28"/>
                <w:lang w:bidi="ar"/>
              </w:rPr>
              <w:t>任务1</w:t>
            </w:r>
            <w:r>
              <w:rPr>
                <w:rFonts w:hint="eastAsia" w:ascii="仿宋_GB2312" w:hAnsi="宋体" w:eastAsia="仿宋_GB2312" w:cs="仿宋_GB2312"/>
                <w:b/>
                <w:bCs/>
                <w:color w:val="000000"/>
                <w:kern w:val="0"/>
                <w:sz w:val="31"/>
                <w:szCs w:val="31"/>
                <w:lang w:bidi="ar"/>
              </w:rPr>
              <w:t>：</w:t>
            </w:r>
            <w:r>
              <w:rPr>
                <w:rFonts w:ascii="仿宋_GB2312" w:hAnsi="宋体" w:eastAsia="仿宋_GB2312" w:cs="仿宋_GB2312"/>
                <w:b/>
                <w:bCs/>
                <w:color w:val="000000"/>
                <w:kern w:val="0"/>
                <w:sz w:val="31"/>
                <w:szCs w:val="31"/>
                <w:lang w:bidi="ar"/>
              </w:rPr>
              <w:t>组织</w:t>
            </w:r>
            <w:r>
              <w:rPr>
                <w:rFonts w:hint="eastAsia" w:ascii="仿宋_GB2312" w:hAnsi="宋体" w:eastAsia="仿宋_GB2312" w:cs="仿宋_GB2312"/>
                <w:b/>
                <w:bCs/>
                <w:color w:val="000000"/>
                <w:kern w:val="0"/>
                <w:sz w:val="31"/>
                <w:szCs w:val="31"/>
                <w:lang w:bidi="ar"/>
              </w:rPr>
              <w:t>领导</w:t>
            </w:r>
            <w:r>
              <w:rPr>
                <w:rFonts w:ascii="仿宋_GB2312" w:hAnsi="宋体" w:eastAsia="仿宋_GB2312" w:cs="仿宋_GB2312"/>
                <w:b/>
                <w:bCs/>
                <w:color w:val="000000"/>
                <w:kern w:val="0"/>
                <w:sz w:val="31"/>
                <w:szCs w:val="31"/>
                <w:lang w:bidi="ar"/>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4" w:hRule="atLeast"/>
          <w:jc w:val="center"/>
        </w:trPr>
        <w:tc>
          <w:tcPr>
            <w:tcW w:w="8711" w:type="dxa"/>
            <w:noWrap w:val="0"/>
            <w:vAlign w:val="top"/>
          </w:tcPr>
          <w:p>
            <w:pPr>
              <w:widowControl/>
              <w:jc w:val="left"/>
              <w:rPr>
                <w:rFonts w:ascii="Times New Roman" w:hAnsi="Times New Roman" w:eastAsia="宋体" w:cs="Times New Roman"/>
                <w:color w:val="000000"/>
              </w:rPr>
            </w:pPr>
          </w:p>
          <w:p>
            <w:pPr>
              <w:spacing w:line="400" w:lineRule="exact"/>
              <w:rPr>
                <w:rFonts w:hint="eastAsia" w:ascii="仿宋_GB2312" w:hAnsi="仿宋_GB2312" w:eastAsia="仿宋_GB2312" w:cs="仿宋_GB2312"/>
                <w:b/>
                <w:bCs/>
                <w:color w:val="000000"/>
                <w:kern w:val="0"/>
                <w:sz w:val="28"/>
                <w:szCs w:val="28"/>
                <w:lang w:bidi="ar"/>
              </w:rPr>
            </w:pPr>
            <w:r>
              <w:rPr>
                <w:rFonts w:hint="eastAsia" w:ascii="仿宋_GB2312" w:hAnsi="仿宋_GB2312" w:eastAsia="仿宋_GB2312" w:cs="仿宋_GB2312"/>
                <w:b/>
                <w:bCs/>
                <w:color w:val="000000"/>
                <w:kern w:val="0"/>
                <w:sz w:val="28"/>
                <w:szCs w:val="28"/>
                <w:lang w:bidi="ar"/>
              </w:rPr>
              <w:t>具体举措：</w:t>
            </w:r>
          </w:p>
          <w:p>
            <w:pPr>
              <w:spacing w:line="400" w:lineRule="exact"/>
              <w:ind w:firstLine="560" w:firstLineChars="200"/>
              <w:rPr>
                <w:rFonts w:hint="eastAsia" w:ascii="仿宋_GB2312" w:hAnsi="仿宋_GB2312" w:eastAsia="仿宋_GB2312" w:cs="仿宋_GB2312"/>
                <w:color w:val="000000"/>
                <w:kern w:val="0"/>
                <w:sz w:val="28"/>
                <w:szCs w:val="28"/>
                <w:lang w:bidi="ar"/>
              </w:rPr>
            </w:pPr>
            <w:r>
              <w:rPr>
                <w:rFonts w:hint="eastAsia" w:ascii="仿宋_GB2312" w:hAnsi="仿宋_GB2312" w:eastAsia="仿宋_GB2312" w:cs="仿宋_GB2312"/>
                <w:color w:val="000000"/>
                <w:kern w:val="0"/>
                <w:sz w:val="28"/>
                <w:szCs w:val="28"/>
                <w:lang w:bidi="ar"/>
              </w:rPr>
              <w:t>学校成立由校长为组长的硕士学位授予立项单位</w:t>
            </w:r>
            <w:r>
              <w:rPr>
                <w:rFonts w:ascii="仿宋_GB2312" w:hAnsi="仿宋_GB2312" w:eastAsia="仿宋_GB2312" w:cs="仿宋_GB2312"/>
                <w:color w:val="000000"/>
                <w:kern w:val="0"/>
                <w:sz w:val="28"/>
                <w:szCs w:val="28"/>
                <w:lang w:bidi="ar"/>
              </w:rPr>
              <w:t>建设工作领导小组，统筹谋划、全面部署事关全局的重大问题。领导小组办公室设在科研处，负责根据领导小组部署要求，搞好总体谋划，对标对表进行任务分解。各相关职能部门成立工作组</w:t>
            </w:r>
            <w:r>
              <w:rPr>
                <w:rFonts w:hint="eastAsia" w:ascii="仿宋_GB2312" w:hAnsi="仿宋_GB2312" w:eastAsia="仿宋_GB2312" w:cs="仿宋_GB2312"/>
                <w:color w:val="000000"/>
                <w:kern w:val="0"/>
                <w:sz w:val="28"/>
                <w:szCs w:val="28"/>
                <w:lang w:bidi="ar"/>
              </w:rPr>
              <w:t>，</w:t>
            </w:r>
            <w:r>
              <w:rPr>
                <w:rFonts w:ascii="仿宋_GB2312" w:hAnsi="仿宋_GB2312" w:eastAsia="仿宋_GB2312" w:cs="仿宋_GB2312"/>
                <w:color w:val="000000"/>
                <w:kern w:val="0"/>
                <w:sz w:val="28"/>
                <w:szCs w:val="28"/>
                <w:lang w:bidi="ar"/>
              </w:rPr>
              <w:t xml:space="preserve">认真学习研究学科建设和硕士学位授予立项单位建设相关指标，制定详细建设实施方案，确保高标准完成任务目标。硕建点实行依托单位负责人责任制，依托单位负责人牵头制定建设+实施方案和年度工作计划，并负责组织落实。 </w:t>
            </w:r>
          </w:p>
          <w:p>
            <w:pPr>
              <w:spacing w:line="400" w:lineRule="exact"/>
              <w:rPr>
                <w:rFonts w:hint="eastAsia" w:ascii="仿宋_GB2312" w:hAnsi="仿宋_GB2312" w:eastAsia="仿宋_GB2312" w:cs="仿宋_GB2312"/>
                <w:color w:val="000000"/>
                <w:kern w:val="0"/>
                <w:sz w:val="28"/>
                <w:szCs w:val="28"/>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5" w:hRule="atLeast"/>
          <w:jc w:val="center"/>
        </w:trPr>
        <w:tc>
          <w:tcPr>
            <w:tcW w:w="8711" w:type="dxa"/>
            <w:noWrap w:val="0"/>
            <w:vAlign w:val="top"/>
          </w:tcPr>
          <w:p>
            <w:pPr>
              <w:spacing w:line="400" w:lineRule="exact"/>
              <w:rPr>
                <w:rFonts w:hint="eastAsia" w:ascii="仿宋_GB2312" w:hAnsi="仿宋_GB2312" w:eastAsia="仿宋_GB2312" w:cs="仿宋_GB2312"/>
                <w:color w:val="000000"/>
                <w:kern w:val="0"/>
                <w:sz w:val="28"/>
                <w:szCs w:val="28"/>
                <w:lang w:val="en-US" w:eastAsia="zh-CN" w:bidi="ar"/>
              </w:rPr>
            </w:pPr>
            <w:r>
              <w:rPr>
                <w:rFonts w:hint="eastAsia" w:ascii="仿宋_GB2312" w:hAnsi="仿宋_GB2312" w:eastAsia="仿宋_GB2312" w:cs="仿宋_GB2312"/>
                <w:b/>
                <w:bCs/>
                <w:color w:val="000000"/>
                <w:kern w:val="0"/>
                <w:sz w:val="28"/>
                <w:szCs w:val="28"/>
                <w:lang w:bidi="ar"/>
              </w:rPr>
              <w:t>任务2：</w:t>
            </w:r>
            <w:r>
              <w:rPr>
                <w:rFonts w:hint="eastAsia" w:ascii="仿宋_GB2312" w:hAnsi="仿宋_GB2312" w:eastAsia="仿宋_GB2312" w:cs="仿宋_GB2312"/>
                <w:b/>
                <w:bCs/>
                <w:color w:val="000000"/>
                <w:kern w:val="0"/>
                <w:sz w:val="28"/>
                <w:szCs w:val="28"/>
                <w:lang w:val="en-US" w:eastAsia="zh-CN" w:bidi="ar"/>
              </w:rPr>
              <w:t>高水平</w:t>
            </w:r>
            <w:r>
              <w:rPr>
                <w:rFonts w:ascii="仿宋_GB2312" w:hAnsi="宋体" w:eastAsia="仿宋_GB2312" w:cs="仿宋_GB2312"/>
                <w:b/>
                <w:bCs/>
                <w:color w:val="000000"/>
                <w:kern w:val="0"/>
                <w:sz w:val="31"/>
                <w:szCs w:val="31"/>
                <w:lang w:bidi="ar"/>
              </w:rPr>
              <w:t>师资队伍</w:t>
            </w:r>
            <w:r>
              <w:rPr>
                <w:rFonts w:hint="eastAsia" w:ascii="仿宋_GB2312" w:hAnsi="宋体" w:eastAsia="仿宋_GB2312" w:cs="仿宋_GB2312"/>
                <w:b/>
                <w:bCs/>
                <w:color w:val="000000"/>
                <w:kern w:val="0"/>
                <w:sz w:val="31"/>
                <w:szCs w:val="31"/>
                <w:lang w:val="en-US" w:eastAsia="zh-CN" w:bidi="ar"/>
              </w:rPr>
              <w:t>建设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1" w:hRule="atLeast"/>
          <w:jc w:val="center"/>
        </w:trPr>
        <w:tc>
          <w:tcPr>
            <w:tcW w:w="8711" w:type="dxa"/>
            <w:noWrap w:val="0"/>
            <w:vAlign w:val="top"/>
          </w:tcPr>
          <w:p>
            <w:pPr>
              <w:spacing w:line="400" w:lineRule="exact"/>
              <w:rPr>
                <w:rFonts w:hint="eastAsia" w:ascii="仿宋_GB2312" w:hAnsi="仿宋_GB2312" w:eastAsia="仿宋_GB2312" w:cs="仿宋_GB2312"/>
                <w:color w:val="000000"/>
                <w:kern w:val="0"/>
                <w:sz w:val="28"/>
                <w:szCs w:val="28"/>
                <w:lang w:bidi="ar"/>
              </w:rPr>
            </w:pPr>
            <w:r>
              <w:rPr>
                <w:rFonts w:hint="eastAsia" w:ascii="仿宋_GB2312" w:hAnsi="仿宋_GB2312" w:eastAsia="仿宋_GB2312" w:cs="仿宋_GB2312"/>
                <w:b/>
                <w:bCs/>
                <w:color w:val="000000"/>
                <w:kern w:val="0"/>
                <w:sz w:val="28"/>
                <w:szCs w:val="28"/>
                <w:lang w:bidi="ar"/>
              </w:rPr>
              <w:t>具体举措：</w:t>
            </w:r>
          </w:p>
          <w:p>
            <w:pPr>
              <w:spacing w:line="400" w:lineRule="exact"/>
              <w:ind w:firstLine="560" w:firstLineChars="200"/>
              <w:rPr>
                <w:rFonts w:hint="eastAsia" w:ascii="仿宋_GB2312" w:hAnsi="仿宋_GB2312" w:eastAsia="仿宋_GB2312" w:cs="仿宋_GB2312"/>
                <w:color w:val="000000"/>
                <w:kern w:val="0"/>
                <w:sz w:val="28"/>
                <w:szCs w:val="28"/>
                <w:lang w:bidi="ar"/>
              </w:rPr>
            </w:pPr>
            <w:r>
              <w:rPr>
                <w:rFonts w:hint="eastAsia" w:ascii="仿宋_GB2312" w:hAnsi="仿宋_GB2312" w:eastAsia="仿宋_GB2312" w:cs="仿宋_GB2312"/>
                <w:color w:val="000000"/>
                <w:kern w:val="0"/>
                <w:sz w:val="28"/>
                <w:szCs w:val="28"/>
                <w:lang w:bidi="ar"/>
              </w:rPr>
              <w:t>加大高层次人才引进力度，完善人才引进优惠政策，科学拟</w:t>
            </w:r>
            <w:r>
              <w:rPr>
                <w:rFonts w:ascii="仿宋_GB2312" w:hAnsi="仿宋_GB2312" w:eastAsia="仿宋_GB2312" w:cs="仿宋_GB2312"/>
                <w:color w:val="000000"/>
                <w:kern w:val="0"/>
                <w:sz w:val="28"/>
                <w:szCs w:val="28"/>
                <w:lang w:bidi="ar"/>
              </w:rPr>
              <w:t>定人才引进计划，加大宣传力度，大力引进高层次人才，特别是学科带头人、学术带头人和学术骨干。完善人才成长发展机制，培养一批高水平学科带头人和学术带头人。完善人才引进与教师考核评价机制，实行人才工作目标责任制，将人才引进培养任务分解到二级学院，建立完善教师聘用考核制度，将目标考核与津贴挂钩。</w:t>
            </w:r>
            <w:r>
              <w:rPr>
                <w:rFonts w:hint="eastAsia" w:ascii="仿宋_GB2312" w:hAnsi="仿宋_GB2312" w:eastAsia="仿宋_GB2312" w:cs="仿宋_GB2312"/>
                <w:color w:val="000000"/>
                <w:kern w:val="0"/>
                <w:sz w:val="28"/>
                <w:szCs w:val="28"/>
                <w:lang w:bidi="ar"/>
              </w:rPr>
              <w:t>建设一批以高水平学科（学术）带头人为</w:t>
            </w:r>
            <w:r>
              <w:rPr>
                <w:rFonts w:ascii="仿宋_GB2312" w:hAnsi="仿宋_GB2312" w:eastAsia="仿宋_GB2312" w:cs="仿宋_GB2312"/>
                <w:color w:val="000000"/>
                <w:kern w:val="0"/>
                <w:sz w:val="28"/>
                <w:szCs w:val="28"/>
                <w:lang w:bidi="ar"/>
              </w:rPr>
              <w:t>核心、中青年骨干教师为主体，结构合理、创新能力强的师资队伍。</w:t>
            </w:r>
            <w:r>
              <w:rPr>
                <w:rFonts w:hint="eastAsia" w:ascii="仿宋_GB2312" w:hAnsi="仿宋_GB2312" w:eastAsia="仿宋_GB2312" w:cs="仿宋_GB2312"/>
                <w:color w:val="000000"/>
                <w:kern w:val="0"/>
                <w:sz w:val="28"/>
                <w:szCs w:val="28"/>
                <w:lang w:bidi="ar"/>
              </w:rPr>
              <w:t>通过内培外引措施实施专兼职教师“双百计划”，建设年龄、职称、学历、学缘结构合理的600人左右的专兼职教师队伍，其中专职教师数量占四分之三以上。实施高水平骨干人才“598”计划，积极引进具有较高学术水平和创新能力的教授和中青年骨干人才，聘请企业优秀专业技术人才、管理人才和高技能人才作为客座教授。积极引进博士学历专任教师。</w:t>
            </w:r>
            <w:r>
              <w:rPr>
                <w:rFonts w:ascii="仿宋_GB2312" w:hAnsi="仿宋_GB2312" w:eastAsia="仿宋_GB2312" w:cs="仿宋_GB2312"/>
                <w:color w:val="000000"/>
                <w:kern w:val="0"/>
                <w:sz w:val="28"/>
                <w:szCs w:val="28"/>
                <w:lang w:bidi="ar"/>
              </w:rPr>
              <w:t>到 202</w:t>
            </w:r>
            <w:r>
              <w:rPr>
                <w:rFonts w:hint="eastAsia" w:ascii="仿宋_GB2312" w:hAnsi="仿宋_GB2312" w:eastAsia="仿宋_GB2312" w:cs="仿宋_GB2312"/>
                <w:color w:val="000000"/>
                <w:kern w:val="0"/>
                <w:sz w:val="28"/>
                <w:szCs w:val="28"/>
                <w:lang w:bidi="ar"/>
              </w:rPr>
              <w:t>5</w:t>
            </w:r>
            <w:r>
              <w:rPr>
                <w:rFonts w:ascii="仿宋_GB2312" w:hAnsi="仿宋_GB2312" w:eastAsia="仿宋_GB2312" w:cs="仿宋_GB2312"/>
                <w:color w:val="000000"/>
                <w:kern w:val="0"/>
                <w:sz w:val="28"/>
                <w:szCs w:val="28"/>
                <w:lang w:bidi="ar"/>
              </w:rPr>
              <w:t>年，具有博士学位的教师占专任教师的比例不</w:t>
            </w:r>
            <w:r>
              <w:rPr>
                <w:rFonts w:hint="eastAsia" w:ascii="仿宋_GB2312" w:hAnsi="仿宋_GB2312" w:eastAsia="仿宋_GB2312" w:cs="仿宋_GB2312"/>
                <w:color w:val="000000"/>
                <w:kern w:val="0"/>
                <w:sz w:val="28"/>
                <w:szCs w:val="28"/>
                <w:lang w:bidi="ar"/>
              </w:rPr>
              <w:t>低于30%，具有硕士学位以上教师比例不低于</w:t>
            </w:r>
            <w:r>
              <w:rPr>
                <w:rFonts w:hint="eastAsia" w:ascii="仿宋_GB2312" w:hAnsi="仿宋_GB2312" w:eastAsia="仿宋_GB2312" w:cs="仿宋_GB2312"/>
                <w:color w:val="000000"/>
                <w:kern w:val="0"/>
                <w:sz w:val="28"/>
                <w:szCs w:val="28"/>
                <w:lang w:val="en-US" w:eastAsia="zh-CN" w:bidi="ar"/>
              </w:rPr>
              <w:t>9</w:t>
            </w:r>
            <w:r>
              <w:rPr>
                <w:rFonts w:hint="eastAsia" w:ascii="仿宋_GB2312" w:hAnsi="仿宋_GB2312" w:eastAsia="仿宋_GB2312" w:cs="仿宋_GB2312"/>
                <w:color w:val="000000"/>
                <w:kern w:val="0"/>
                <w:sz w:val="28"/>
                <w:szCs w:val="28"/>
                <w:lang w:bidi="ar"/>
              </w:rPr>
              <w:t>0%，</w:t>
            </w:r>
            <w:r>
              <w:rPr>
                <w:rFonts w:ascii="仿宋_GB2312" w:hAnsi="仿宋_GB2312" w:eastAsia="仿宋_GB2312" w:cs="仿宋_GB2312"/>
                <w:color w:val="000000"/>
                <w:kern w:val="0"/>
                <w:sz w:val="28"/>
                <w:szCs w:val="28"/>
                <w:lang w:bidi="ar"/>
              </w:rPr>
              <w:t>具有研究生培养经验的教师达 60人以上，持续提高双师型教师、行业企业专家在教师队伍中的比例。 在校生人数与专任教师比例达 17:1</w:t>
            </w:r>
            <w:r>
              <w:rPr>
                <w:rFonts w:hint="eastAsia" w:ascii="仿宋_GB2312" w:hAnsi="仿宋_GB2312" w:eastAsia="仿宋_GB2312" w:cs="仿宋_GB2312"/>
                <w:color w:val="000000"/>
                <w:kern w:val="0"/>
                <w:sz w:val="28"/>
                <w:szCs w:val="28"/>
                <w:lang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4" w:hRule="atLeast"/>
          <w:jc w:val="center"/>
        </w:trPr>
        <w:tc>
          <w:tcPr>
            <w:tcW w:w="8711" w:type="dxa"/>
            <w:noWrap w:val="0"/>
            <w:vAlign w:val="top"/>
          </w:tcPr>
          <w:p>
            <w:pPr>
              <w:widowControl/>
              <w:jc w:val="left"/>
              <w:rPr>
                <w:rFonts w:hint="default" w:ascii="仿宋_GB2312" w:hAnsi="仿宋_GB2312" w:eastAsia="仿宋_GB2312" w:cs="仿宋_GB2312"/>
                <w:color w:val="000000"/>
                <w:kern w:val="0"/>
                <w:sz w:val="28"/>
                <w:szCs w:val="28"/>
                <w:lang w:val="en-US" w:eastAsia="zh-CN" w:bidi="ar"/>
              </w:rPr>
            </w:pPr>
            <w:r>
              <w:rPr>
                <w:rFonts w:hint="eastAsia" w:ascii="仿宋_GB2312" w:hAnsi="仿宋_GB2312" w:eastAsia="仿宋_GB2312" w:cs="仿宋_GB2312"/>
                <w:b/>
                <w:bCs/>
                <w:color w:val="000000"/>
                <w:kern w:val="0"/>
                <w:sz w:val="28"/>
                <w:szCs w:val="28"/>
                <w:lang w:bidi="ar"/>
              </w:rPr>
              <w:t>任务3：</w:t>
            </w:r>
            <w:r>
              <w:rPr>
                <w:rFonts w:hint="eastAsia" w:ascii="仿宋_GB2312" w:hAnsi="宋体" w:eastAsia="仿宋_GB2312" w:cs="仿宋_GB2312"/>
                <w:b/>
                <w:bCs/>
                <w:color w:val="000000"/>
                <w:kern w:val="0"/>
                <w:sz w:val="31"/>
                <w:szCs w:val="31"/>
                <w:lang w:val="en-US" w:eastAsia="zh-CN" w:bidi="ar"/>
              </w:rPr>
              <w:t>学位点布局与建设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80" w:hRule="atLeast"/>
          <w:jc w:val="center"/>
        </w:trPr>
        <w:tc>
          <w:tcPr>
            <w:tcW w:w="8711" w:type="dxa"/>
            <w:noWrap w:val="0"/>
            <w:vAlign w:val="top"/>
          </w:tcPr>
          <w:p>
            <w:pPr>
              <w:spacing w:line="400" w:lineRule="exact"/>
              <w:rPr>
                <w:rFonts w:hint="eastAsia" w:ascii="仿宋_GB2312" w:hAnsi="仿宋_GB2312" w:eastAsia="仿宋_GB2312" w:cs="仿宋_GB2312"/>
                <w:b/>
                <w:bCs/>
                <w:color w:val="000000"/>
                <w:kern w:val="0"/>
                <w:sz w:val="28"/>
                <w:szCs w:val="28"/>
                <w:lang w:bidi="ar"/>
              </w:rPr>
            </w:pPr>
            <w:r>
              <w:rPr>
                <w:rFonts w:hint="eastAsia" w:ascii="仿宋_GB2312" w:hAnsi="仿宋_GB2312" w:eastAsia="仿宋_GB2312" w:cs="仿宋_GB2312"/>
                <w:b/>
                <w:bCs/>
                <w:color w:val="000000"/>
                <w:kern w:val="0"/>
                <w:sz w:val="28"/>
                <w:szCs w:val="28"/>
                <w:lang w:bidi="ar"/>
              </w:rPr>
              <w:t>具体举措：</w:t>
            </w:r>
          </w:p>
          <w:p>
            <w:pPr>
              <w:spacing w:line="400" w:lineRule="exact"/>
              <w:ind w:firstLine="560" w:firstLineChars="200"/>
              <w:rPr>
                <w:rFonts w:hint="eastAsia" w:ascii="仿宋_GB2312" w:hAnsi="仿宋_GB2312" w:eastAsia="仿宋_GB2312" w:cs="仿宋_GB2312"/>
                <w:color w:val="000000" w:themeColor="text1"/>
                <w:kern w:val="0"/>
                <w:sz w:val="28"/>
                <w:szCs w:val="28"/>
                <w:lang w:bidi="ar"/>
                <w14:textFill>
                  <w14:solidFill>
                    <w14:schemeClr w14:val="tx1"/>
                  </w14:solidFill>
                </w14:textFill>
              </w:rPr>
            </w:pPr>
            <w:r>
              <w:rPr>
                <w:rFonts w:hint="eastAsia" w:ascii="仿宋_GB2312" w:hAnsi="仿宋_GB2312" w:eastAsia="仿宋_GB2312" w:cs="仿宋_GB2312"/>
                <w:color w:val="000000" w:themeColor="text1"/>
                <w:kern w:val="0"/>
                <w:sz w:val="28"/>
                <w:szCs w:val="28"/>
                <w:lang w:val="en-US" w:eastAsia="zh-CN" w:bidi="ar"/>
                <w14:textFill>
                  <w14:solidFill>
                    <w14:schemeClr w14:val="tx1"/>
                  </w14:solidFill>
                </w14:textFill>
              </w:rPr>
              <w:t>按照学校“十四五”教育事业发展规划，“十四五”期间，集中全校人力、物力和财力，</w:t>
            </w:r>
            <w:r>
              <w:rPr>
                <w:rFonts w:hint="default" w:ascii="仿宋_GB2312" w:hAnsi="仿宋_GB2312" w:eastAsia="仿宋_GB2312" w:cs="仿宋_GB2312"/>
                <w:color w:val="000000" w:themeColor="text1"/>
                <w:kern w:val="0"/>
                <w:sz w:val="28"/>
                <w:szCs w:val="28"/>
                <w:lang w:val="en-US" w:eastAsia="zh-CN" w:bidi="ar"/>
                <w14:textFill>
                  <w14:solidFill>
                    <w14:schemeClr w14:val="tx1"/>
                  </w14:solidFill>
                </w14:textFill>
              </w:rPr>
              <w:t>加大</w:t>
            </w:r>
            <w:r>
              <w:rPr>
                <w:rFonts w:hint="eastAsia" w:ascii="仿宋_GB2312" w:hAnsi="仿宋_GB2312" w:eastAsia="仿宋_GB2312" w:cs="仿宋_GB2312"/>
                <w:color w:val="000000" w:themeColor="text1"/>
                <w:kern w:val="0"/>
                <w:sz w:val="28"/>
                <w:szCs w:val="28"/>
                <w:lang w:val="en-US" w:eastAsia="zh-CN" w:bidi="ar"/>
                <w14:textFill>
                  <w14:solidFill>
                    <w14:schemeClr w14:val="tx1"/>
                  </w14:solidFill>
                </w14:textFill>
              </w:rPr>
              <w:t>翻译</w:t>
            </w:r>
            <w:r>
              <w:rPr>
                <w:rFonts w:hint="default" w:ascii="仿宋_GB2312" w:hAnsi="仿宋_GB2312" w:eastAsia="仿宋_GB2312" w:cs="仿宋_GB2312"/>
                <w:color w:val="000000" w:themeColor="text1"/>
                <w:kern w:val="0"/>
                <w:sz w:val="28"/>
                <w:szCs w:val="28"/>
                <w:lang w:val="en-US" w:eastAsia="zh-CN" w:bidi="ar"/>
                <w14:textFill>
                  <w14:solidFill>
                    <w14:schemeClr w14:val="tx1"/>
                  </w14:solidFill>
                </w14:textFill>
              </w:rPr>
              <w:t>、</w:t>
            </w:r>
            <w:r>
              <w:rPr>
                <w:rFonts w:hint="eastAsia" w:ascii="仿宋_GB2312" w:hAnsi="仿宋_GB2312" w:eastAsia="仿宋_GB2312" w:cs="仿宋_GB2312"/>
                <w:color w:val="000000" w:themeColor="text1"/>
                <w:kern w:val="0"/>
                <w:sz w:val="28"/>
                <w:szCs w:val="28"/>
                <w:lang w:val="en-US" w:eastAsia="zh-CN" w:bidi="ar"/>
                <w14:textFill>
                  <w14:solidFill>
                    <w14:schemeClr w14:val="tx1"/>
                  </w14:solidFill>
                </w14:textFill>
              </w:rPr>
              <w:t>金融、艺术</w:t>
            </w:r>
            <w:r>
              <w:rPr>
                <w:rFonts w:hint="default" w:ascii="仿宋_GB2312" w:hAnsi="仿宋_GB2312" w:eastAsia="仿宋_GB2312" w:cs="仿宋_GB2312"/>
                <w:color w:val="000000" w:themeColor="text1"/>
                <w:kern w:val="0"/>
                <w:sz w:val="28"/>
                <w:szCs w:val="28"/>
                <w:lang w:val="en-US" w:eastAsia="zh-CN" w:bidi="ar"/>
                <w14:textFill>
                  <w14:solidFill>
                    <w14:schemeClr w14:val="tx1"/>
                  </w14:solidFill>
                </w14:textFill>
              </w:rPr>
              <w:t>3个硕士学位建设点的投入与建设力度，切实提高硕建点乃至全校的整体实力和人才培养质量。</w:t>
            </w:r>
          </w:p>
          <w:p>
            <w:pPr>
              <w:spacing w:line="400" w:lineRule="exact"/>
              <w:ind w:firstLine="560" w:firstLineChars="200"/>
              <w:rPr>
                <w:rFonts w:ascii="仿宋_GB2312" w:hAnsi="仿宋_GB2312" w:eastAsia="仿宋_GB2312" w:cs="仿宋_GB2312"/>
                <w:color w:val="000000" w:themeColor="text1"/>
                <w:kern w:val="0"/>
                <w:sz w:val="28"/>
                <w:szCs w:val="28"/>
                <w:lang w:bidi="ar"/>
                <w14:textFill>
                  <w14:solidFill>
                    <w14:schemeClr w14:val="tx1"/>
                  </w14:solidFill>
                </w14:textFill>
              </w:rPr>
            </w:pPr>
            <w:r>
              <w:rPr>
                <w:rFonts w:hint="eastAsia" w:ascii="仿宋_GB2312" w:hAnsi="仿宋_GB2312" w:eastAsia="仿宋_GB2312" w:cs="仿宋_GB2312"/>
                <w:color w:val="000000" w:themeColor="text1"/>
                <w:kern w:val="0"/>
                <w:sz w:val="28"/>
                <w:szCs w:val="28"/>
                <w:lang w:bidi="ar"/>
                <w14:textFill>
                  <w14:solidFill>
                    <w14:schemeClr w14:val="tx1"/>
                  </w14:solidFill>
                </w14:textFill>
              </w:rPr>
              <w:t>以人才培养为中心，进一步完善人才培养</w:t>
            </w:r>
            <w:r>
              <w:rPr>
                <w:rFonts w:ascii="仿宋_GB2312" w:hAnsi="仿宋_GB2312" w:eastAsia="仿宋_GB2312" w:cs="仿宋_GB2312"/>
                <w:color w:val="000000" w:themeColor="text1"/>
                <w:kern w:val="0"/>
                <w:sz w:val="28"/>
                <w:szCs w:val="28"/>
                <w:lang w:bidi="ar"/>
                <w14:textFill>
                  <w14:solidFill>
                    <w14:schemeClr w14:val="tx1"/>
                  </w14:solidFill>
                </w14:textFill>
              </w:rPr>
              <w:t>机制，</w:t>
            </w:r>
            <w:r>
              <w:rPr>
                <w:rFonts w:hint="eastAsia" w:ascii="仿宋_GB2312" w:hAnsi="仿宋_GB2312" w:eastAsia="仿宋_GB2312" w:cs="仿宋_GB2312"/>
                <w:color w:val="000000" w:themeColor="text1"/>
                <w:kern w:val="0"/>
                <w:sz w:val="28"/>
                <w:szCs w:val="28"/>
                <w:lang w:bidi="ar"/>
                <w14:textFill>
                  <w14:solidFill>
                    <w14:schemeClr w14:val="tx1"/>
                  </w14:solidFill>
                </w14:textFill>
              </w:rPr>
              <w:t>优化人才培养方案，优化课程体</w:t>
            </w:r>
            <w:r>
              <w:rPr>
                <w:rFonts w:ascii="仿宋_GB2312" w:hAnsi="仿宋_GB2312" w:eastAsia="仿宋_GB2312" w:cs="仿宋_GB2312"/>
                <w:color w:val="000000" w:themeColor="text1"/>
                <w:kern w:val="0"/>
                <w:sz w:val="28"/>
                <w:szCs w:val="28"/>
                <w:lang w:bidi="ar"/>
                <w14:textFill>
                  <w14:solidFill>
                    <w14:schemeClr w14:val="tx1"/>
                  </w14:solidFill>
                </w14:textFill>
              </w:rPr>
              <w:t>系，提高人才培养质量</w:t>
            </w:r>
            <w:r>
              <w:rPr>
                <w:rFonts w:hint="eastAsia" w:ascii="仿宋_GB2312" w:hAnsi="仿宋_GB2312" w:eastAsia="仿宋_GB2312" w:cs="仿宋_GB2312"/>
                <w:color w:val="000000" w:themeColor="text1"/>
                <w:kern w:val="0"/>
                <w:sz w:val="28"/>
                <w:szCs w:val="28"/>
                <w:lang w:bidi="ar"/>
                <w14:textFill>
                  <w14:solidFill>
                    <w14:schemeClr w14:val="tx1"/>
                  </w14:solidFill>
                </w14:textFill>
              </w:rPr>
              <w:t>。</w:t>
            </w:r>
            <w:r>
              <w:rPr>
                <w:rFonts w:ascii="仿宋_GB2312" w:hAnsi="仿宋_GB2312" w:eastAsia="仿宋_GB2312" w:cs="仿宋_GB2312"/>
                <w:color w:val="000000" w:themeColor="text1"/>
                <w:kern w:val="0"/>
                <w:sz w:val="28"/>
                <w:szCs w:val="28"/>
                <w:lang w:bidi="ar"/>
                <w14:textFill>
                  <w14:solidFill>
                    <w14:schemeClr w14:val="tx1"/>
                  </w14:solidFill>
                </w14:textFill>
              </w:rPr>
              <w:t>创新人才培养模式，推进应用型人才培养模式改革，建立产教融合</w:t>
            </w:r>
            <w:r>
              <w:rPr>
                <w:rFonts w:hint="eastAsia" w:ascii="仿宋_GB2312" w:hAnsi="仿宋_GB2312" w:eastAsia="仿宋_GB2312" w:cs="仿宋_GB2312"/>
                <w:color w:val="000000" w:themeColor="text1"/>
                <w:kern w:val="0"/>
                <w:sz w:val="28"/>
                <w:szCs w:val="28"/>
                <w:lang w:bidi="ar"/>
                <w14:textFill>
                  <w14:solidFill>
                    <w14:schemeClr w14:val="tx1"/>
                  </w14:solidFill>
                </w14:textFill>
              </w:rPr>
              <w:t>、</w:t>
            </w:r>
            <w:r>
              <w:rPr>
                <w:rFonts w:ascii="仿宋_GB2312" w:hAnsi="仿宋_GB2312" w:eastAsia="仿宋_GB2312" w:cs="仿宋_GB2312"/>
                <w:color w:val="000000" w:themeColor="text1"/>
                <w:kern w:val="0"/>
                <w:sz w:val="28"/>
                <w:szCs w:val="28"/>
                <w:lang w:bidi="ar"/>
                <w14:textFill>
                  <w14:solidFill>
                    <w14:schemeClr w14:val="tx1"/>
                  </w14:solidFill>
                </w14:textFill>
              </w:rPr>
              <w:t>校企深度合作的人才培养模式，实现专业链与产业链、课程内容与职业标准、教学过程与生产过程的深度对接。推进开放办学， 密切与地方政府、企业行业合作，共同研制人才培养方案，共同开发专业核心课程，推进校企、校地联合办学务实发展。</w:t>
            </w:r>
            <w:r>
              <w:rPr>
                <w:rFonts w:hint="eastAsia" w:ascii="仿宋_GB2312" w:hAnsi="仿宋_GB2312" w:eastAsia="仿宋_GB2312" w:cs="仿宋_GB2312"/>
                <w:color w:val="000000" w:themeColor="text1"/>
                <w:kern w:val="0"/>
                <w:sz w:val="28"/>
                <w:szCs w:val="28"/>
                <w:lang w:bidi="ar"/>
                <w14:textFill>
                  <w14:solidFill>
                    <w14:schemeClr w14:val="tx1"/>
                  </w14:solidFill>
                </w14:textFill>
              </w:rPr>
              <w:t>积极争取</w:t>
            </w:r>
            <w:r>
              <w:rPr>
                <w:rFonts w:ascii="仿宋_GB2312" w:hAnsi="仿宋_GB2312" w:eastAsia="仿宋_GB2312" w:cs="仿宋_GB2312"/>
                <w:color w:val="000000" w:themeColor="text1"/>
                <w:kern w:val="0"/>
                <w:sz w:val="28"/>
                <w:szCs w:val="28"/>
                <w:lang w:bidi="ar"/>
                <w14:textFill>
                  <w14:solidFill>
                    <w14:schemeClr w14:val="tx1"/>
                  </w14:solidFill>
                </w14:textFill>
              </w:rPr>
              <w:t>与国外高水平大学开展联合培养，</w:t>
            </w:r>
            <w:r>
              <w:rPr>
                <w:rFonts w:hint="eastAsia" w:ascii="仿宋_GB2312" w:hAnsi="仿宋_GB2312" w:eastAsia="仿宋_GB2312" w:cs="仿宋_GB2312"/>
                <w:color w:val="000000" w:themeColor="text1"/>
                <w:kern w:val="0"/>
                <w:sz w:val="28"/>
                <w:szCs w:val="28"/>
                <w:lang w:bidi="ar"/>
                <w14:textFill>
                  <w14:solidFill>
                    <w14:schemeClr w14:val="tx1"/>
                  </w14:solidFill>
                </w14:textFill>
              </w:rPr>
              <w:t>努力实现</w:t>
            </w:r>
            <w:r>
              <w:rPr>
                <w:rFonts w:ascii="仿宋_GB2312" w:hAnsi="仿宋_GB2312" w:eastAsia="仿宋_GB2312" w:cs="仿宋_GB2312"/>
                <w:color w:val="000000" w:themeColor="text1"/>
                <w:kern w:val="0"/>
                <w:sz w:val="28"/>
                <w:szCs w:val="28"/>
                <w:lang w:bidi="ar"/>
                <w14:textFill>
                  <w14:solidFill>
                    <w14:schemeClr w14:val="tx1"/>
                  </w14:solidFill>
                </w14:textFill>
              </w:rPr>
              <w:t>学生互派、学分互认、学位互授联授</w:t>
            </w:r>
            <w:r>
              <w:rPr>
                <w:rFonts w:hint="eastAsia" w:ascii="仿宋_GB2312" w:hAnsi="仿宋_GB2312" w:eastAsia="仿宋_GB2312" w:cs="仿宋_GB2312"/>
                <w:color w:val="000000" w:themeColor="text1"/>
                <w:kern w:val="0"/>
                <w:sz w:val="28"/>
                <w:szCs w:val="28"/>
                <w:lang w:bidi="ar"/>
                <w14:textFill>
                  <w14:solidFill>
                    <w14:schemeClr w14:val="tx1"/>
                  </w14:solidFill>
                </w14:textFill>
              </w:rPr>
              <w:t>深度合作</w:t>
            </w:r>
            <w:r>
              <w:rPr>
                <w:rFonts w:ascii="仿宋_GB2312" w:hAnsi="仿宋_GB2312" w:eastAsia="仿宋_GB2312" w:cs="仿宋_GB2312"/>
                <w:color w:val="000000" w:themeColor="text1"/>
                <w:kern w:val="0"/>
                <w:sz w:val="28"/>
                <w:szCs w:val="28"/>
                <w:lang w:bidi="ar"/>
                <w14:textFill>
                  <w14:solidFill>
                    <w14:schemeClr w14:val="tx1"/>
                  </w14:solidFill>
                </w14:textFill>
              </w:rPr>
              <w:t>。加大就业工作的人力财力投入，充实就业工作队伍，</w:t>
            </w:r>
            <w:r>
              <w:rPr>
                <w:rFonts w:hint="eastAsia" w:ascii="仿宋_GB2312" w:hAnsi="仿宋_GB2312" w:eastAsia="仿宋_GB2312" w:cs="仿宋_GB2312"/>
                <w:color w:val="000000" w:themeColor="text1"/>
                <w:kern w:val="0"/>
                <w:sz w:val="28"/>
                <w:szCs w:val="28"/>
                <w:lang w:bidi="ar"/>
                <w14:textFill>
                  <w14:solidFill>
                    <w14:schemeClr w14:val="tx1"/>
                  </w14:solidFill>
                </w14:textFill>
              </w:rPr>
              <w:t>加强毕业生就业与创业工作指导，</w:t>
            </w:r>
            <w:r>
              <w:rPr>
                <w:rFonts w:ascii="仿宋_GB2312" w:hAnsi="仿宋_GB2312" w:eastAsia="仿宋_GB2312" w:cs="仿宋_GB2312"/>
                <w:color w:val="000000" w:themeColor="text1"/>
                <w:kern w:val="0"/>
                <w:sz w:val="28"/>
                <w:szCs w:val="28"/>
                <w:lang w:bidi="ar"/>
                <w14:textFill>
                  <w14:solidFill>
                    <w14:schemeClr w14:val="tx1"/>
                  </w14:solidFill>
                </w14:textFill>
              </w:rPr>
              <w:t>加强就业市场和信息化建设，搭建校企、校地和校校供需双选平台，</w:t>
            </w:r>
            <w:r>
              <w:rPr>
                <w:rFonts w:hint="eastAsia" w:ascii="仿宋_GB2312" w:hAnsi="仿宋_GB2312" w:eastAsia="仿宋_GB2312" w:cs="仿宋_GB2312"/>
                <w:color w:val="000000" w:themeColor="text1"/>
                <w:kern w:val="0"/>
                <w:sz w:val="28"/>
                <w:szCs w:val="28"/>
                <w:lang w:bidi="ar"/>
                <w14:textFill>
                  <w14:solidFill>
                    <w14:schemeClr w14:val="tx1"/>
                  </w14:solidFill>
                </w14:textFill>
              </w:rPr>
              <w:t>通过</w:t>
            </w:r>
            <w:r>
              <w:rPr>
                <w:rFonts w:ascii="仿宋_GB2312" w:hAnsi="仿宋_GB2312" w:eastAsia="仿宋_GB2312" w:cs="仿宋_GB2312"/>
                <w:color w:val="000000" w:themeColor="text1"/>
                <w:kern w:val="0"/>
                <w:sz w:val="28"/>
                <w:szCs w:val="28"/>
                <w:lang w:bidi="ar"/>
                <w14:textFill>
                  <w14:solidFill>
                    <w14:schemeClr w14:val="tx1"/>
                  </w14:solidFill>
                </w14:textFill>
              </w:rPr>
              <w:t>各类基层就业项目，拓宽毕业生就业渠道</w:t>
            </w:r>
            <w:r>
              <w:rPr>
                <w:rFonts w:hint="eastAsia" w:ascii="仿宋_GB2312" w:hAnsi="仿宋_GB2312" w:eastAsia="仿宋_GB2312" w:cs="仿宋_GB2312"/>
                <w:color w:val="000000" w:themeColor="text1"/>
                <w:kern w:val="0"/>
                <w:sz w:val="28"/>
                <w:szCs w:val="28"/>
                <w:lang w:bidi="ar"/>
                <w14:textFill>
                  <w14:solidFill>
                    <w14:schemeClr w14:val="tx1"/>
                  </w14:solidFill>
                </w14:textFill>
              </w:rPr>
              <w:t>，</w:t>
            </w:r>
            <w:r>
              <w:rPr>
                <w:rFonts w:ascii="仿宋_GB2312" w:hAnsi="仿宋_GB2312" w:eastAsia="仿宋_GB2312" w:cs="仿宋_GB2312"/>
                <w:color w:val="000000" w:themeColor="text1"/>
                <w:kern w:val="0"/>
                <w:sz w:val="28"/>
                <w:szCs w:val="28"/>
                <w:lang w:bidi="ar"/>
                <w14:textFill>
                  <w14:solidFill>
                    <w14:schemeClr w14:val="tx1"/>
                  </w14:solidFill>
                </w14:textFill>
              </w:rPr>
              <w:t>提高学生就业率和就业质量</w:t>
            </w:r>
            <w:r>
              <w:rPr>
                <w:rFonts w:hint="eastAsia" w:ascii="仿宋_GB2312" w:hAnsi="仿宋_GB2312" w:eastAsia="仿宋_GB2312" w:cs="仿宋_GB2312"/>
                <w:color w:val="000000" w:themeColor="text1"/>
                <w:kern w:val="0"/>
                <w:sz w:val="28"/>
                <w:szCs w:val="28"/>
                <w:lang w:bidi="ar"/>
                <w14:textFill>
                  <w14:solidFill>
                    <w14:schemeClr w14:val="tx1"/>
                  </w14:solidFill>
                </w14:textFill>
              </w:rPr>
              <w:t>。</w:t>
            </w:r>
            <w:r>
              <w:rPr>
                <w:rFonts w:ascii="仿宋_GB2312" w:hAnsi="仿宋_GB2312" w:eastAsia="仿宋_GB2312" w:cs="仿宋_GB2312"/>
                <w:color w:val="000000" w:themeColor="text1"/>
                <w:kern w:val="0"/>
                <w:sz w:val="28"/>
                <w:szCs w:val="28"/>
                <w:lang w:bidi="ar"/>
                <w14:textFill>
                  <w14:solidFill>
                    <w14:schemeClr w14:val="tx1"/>
                  </w14:solidFill>
                </w14:textFill>
              </w:rPr>
              <w:t>到 202</w:t>
            </w:r>
            <w:r>
              <w:rPr>
                <w:rFonts w:hint="eastAsia" w:ascii="仿宋_GB2312" w:hAnsi="仿宋_GB2312" w:eastAsia="仿宋_GB2312" w:cs="仿宋_GB2312"/>
                <w:color w:val="000000" w:themeColor="text1"/>
                <w:kern w:val="0"/>
                <w:sz w:val="28"/>
                <w:szCs w:val="28"/>
                <w:lang w:bidi="ar"/>
                <w14:textFill>
                  <w14:solidFill>
                    <w14:schemeClr w14:val="tx1"/>
                  </w14:solidFill>
                </w14:textFill>
              </w:rPr>
              <w:t>5</w:t>
            </w:r>
            <w:r>
              <w:rPr>
                <w:rFonts w:ascii="仿宋_GB2312" w:hAnsi="仿宋_GB2312" w:eastAsia="仿宋_GB2312" w:cs="仿宋_GB2312"/>
                <w:color w:val="000000" w:themeColor="text1"/>
                <w:kern w:val="0"/>
                <w:sz w:val="28"/>
                <w:szCs w:val="28"/>
                <w:lang w:bidi="ar"/>
                <w14:textFill>
                  <w14:solidFill>
                    <w14:schemeClr w14:val="tx1"/>
                  </w14:solidFill>
                </w14:textFill>
              </w:rPr>
              <w:t xml:space="preserve"> 年，本科生培养质量显著提高，</w:t>
            </w:r>
            <w:r>
              <w:rPr>
                <w:rFonts w:hint="eastAsia" w:ascii="仿宋_GB2312" w:hAnsi="仿宋_GB2312" w:eastAsia="仿宋_GB2312" w:cs="仿宋_GB2312"/>
                <w:color w:val="000000" w:themeColor="text1"/>
                <w:kern w:val="0"/>
                <w:sz w:val="28"/>
                <w:szCs w:val="28"/>
                <w:lang w:bidi="ar"/>
                <w14:textFill>
                  <w14:solidFill>
                    <w14:schemeClr w14:val="tx1"/>
                  </w14:solidFill>
                </w14:textFill>
              </w:rPr>
              <w:t>毕业生毕业率为 97%，学位授予率95%；毕业生总体就业率为97%</w:t>
            </w:r>
            <w:r>
              <w:rPr>
                <w:rFonts w:hint="eastAsia" w:ascii="仿宋_GB2312" w:hAnsi="仿宋_GB2312" w:eastAsia="仿宋_GB2312" w:cs="仿宋_GB2312"/>
                <w:color w:val="000000" w:themeColor="text1"/>
                <w:kern w:val="0"/>
                <w:sz w:val="28"/>
                <w:szCs w:val="28"/>
                <w:lang w:val="en-US" w:eastAsia="zh-CN" w:bidi="ar"/>
                <w14:textFill>
                  <w14:solidFill>
                    <w14:schemeClr w14:val="tx1"/>
                  </w14:solidFill>
                </w14:textFill>
              </w:rPr>
              <w:t>以上</w:t>
            </w:r>
            <w:r>
              <w:rPr>
                <w:rFonts w:hint="eastAsia" w:ascii="仿宋_GB2312" w:hAnsi="仿宋_GB2312" w:eastAsia="仿宋_GB2312" w:cs="仿宋_GB2312"/>
                <w:color w:val="000000" w:themeColor="text1"/>
                <w:kern w:val="0"/>
                <w:sz w:val="28"/>
                <w:szCs w:val="28"/>
                <w:lang w:bidi="ar"/>
                <w14:textFill>
                  <w14:solidFill>
                    <w14:schemeClr w14:val="tx1"/>
                  </w14:solidFill>
                </w14:textFill>
              </w:rPr>
              <w:t>；2021-2025学年，学生参加各类学科专业竞赛奖项150项；国内研究生考取率，比“十三五”时期增长30%。出国出境续读研究生占全部毕业生的15%。用人单位对毕业生满意度达98%</w:t>
            </w:r>
            <w:r>
              <w:rPr>
                <w:rFonts w:hint="eastAsia" w:ascii="仿宋_GB2312" w:hAnsi="仿宋_GB2312" w:eastAsia="仿宋_GB2312" w:cs="仿宋_GB2312"/>
                <w:color w:val="000000" w:themeColor="text1"/>
                <w:kern w:val="0"/>
                <w:sz w:val="28"/>
                <w:szCs w:val="28"/>
                <w:lang w:val="en-US" w:eastAsia="zh-CN" w:bidi="ar"/>
                <w14:textFill>
                  <w14:solidFill>
                    <w14:schemeClr w14:val="tx1"/>
                  </w14:solidFill>
                </w14:textFill>
              </w:rPr>
              <w:t>以上</w:t>
            </w:r>
            <w:r>
              <w:rPr>
                <w:rFonts w:hint="eastAsia" w:ascii="仿宋_GB2312" w:hAnsi="仿宋_GB2312" w:eastAsia="仿宋_GB2312" w:cs="仿宋_GB2312"/>
                <w:color w:val="000000" w:themeColor="text1"/>
                <w:kern w:val="0"/>
                <w:sz w:val="28"/>
                <w:szCs w:val="28"/>
                <w:lang w:bidi="ar"/>
                <w14:textFill>
                  <w14:solidFill>
                    <w14:schemeClr w14:val="tx1"/>
                  </w14:solidFill>
                </w14:textFill>
              </w:rPr>
              <w:t>。</w:t>
            </w:r>
          </w:p>
          <w:p>
            <w:pPr>
              <w:spacing w:line="400" w:lineRule="exact"/>
              <w:rPr>
                <w:rFonts w:hint="eastAsia" w:ascii="仿宋_GB2312" w:hAnsi="仿宋_GB2312" w:eastAsia="仿宋_GB2312" w:cs="仿宋_GB2312"/>
                <w:color w:val="000000"/>
                <w:kern w:val="0"/>
                <w:sz w:val="28"/>
                <w:szCs w:val="28"/>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4" w:hRule="atLeast"/>
          <w:jc w:val="center"/>
        </w:trPr>
        <w:tc>
          <w:tcPr>
            <w:tcW w:w="8711" w:type="dxa"/>
            <w:noWrap w:val="0"/>
            <w:vAlign w:val="top"/>
          </w:tcPr>
          <w:p>
            <w:pPr>
              <w:widowControl/>
              <w:jc w:val="left"/>
              <w:rPr>
                <w:rFonts w:hint="default" w:ascii="仿宋_GB2312" w:hAnsi="仿宋_GB2312" w:eastAsia="仿宋_GB2312" w:cs="仿宋_GB2312"/>
                <w:color w:val="000000"/>
                <w:kern w:val="0"/>
                <w:sz w:val="28"/>
                <w:szCs w:val="28"/>
                <w:lang w:val="en-US" w:eastAsia="zh-CN" w:bidi="ar"/>
              </w:rPr>
            </w:pPr>
            <w:r>
              <w:rPr>
                <w:rFonts w:hint="eastAsia" w:ascii="仿宋_GB2312" w:hAnsi="仿宋_GB2312" w:eastAsia="仿宋_GB2312" w:cs="仿宋_GB2312"/>
                <w:b/>
                <w:bCs/>
                <w:color w:val="000000"/>
                <w:kern w:val="0"/>
                <w:sz w:val="28"/>
                <w:szCs w:val="28"/>
                <w:lang w:bidi="ar"/>
              </w:rPr>
              <w:t>任务4：</w:t>
            </w:r>
            <w:r>
              <w:rPr>
                <w:rFonts w:ascii="仿宋_GB2312" w:hAnsi="宋体" w:eastAsia="仿宋_GB2312" w:cs="仿宋_GB2312"/>
                <w:b/>
                <w:bCs/>
                <w:color w:val="000000"/>
                <w:kern w:val="0"/>
                <w:sz w:val="31"/>
                <w:szCs w:val="31"/>
                <w:lang w:bidi="ar"/>
              </w:rPr>
              <w:t>科学研究</w:t>
            </w:r>
            <w:r>
              <w:rPr>
                <w:rFonts w:hint="eastAsia" w:ascii="仿宋_GB2312" w:hAnsi="宋体" w:eastAsia="仿宋_GB2312" w:cs="仿宋_GB2312"/>
                <w:b/>
                <w:bCs/>
                <w:color w:val="000000"/>
                <w:kern w:val="0"/>
                <w:sz w:val="31"/>
                <w:szCs w:val="31"/>
                <w:lang w:val="en-US" w:eastAsia="zh-CN" w:bidi="ar"/>
              </w:rPr>
              <w:t>发展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0" w:hRule="atLeast"/>
          <w:jc w:val="center"/>
        </w:trPr>
        <w:tc>
          <w:tcPr>
            <w:tcW w:w="8711" w:type="dxa"/>
            <w:noWrap w:val="0"/>
            <w:vAlign w:val="top"/>
          </w:tcPr>
          <w:p>
            <w:pPr>
              <w:spacing w:line="400" w:lineRule="exact"/>
              <w:rPr>
                <w:rFonts w:hint="eastAsia" w:ascii="仿宋_GB2312" w:hAnsi="仿宋_GB2312" w:eastAsia="仿宋_GB2312" w:cs="仿宋_GB2312"/>
                <w:b/>
                <w:bCs/>
                <w:color w:val="000000"/>
                <w:kern w:val="0"/>
                <w:sz w:val="28"/>
                <w:szCs w:val="28"/>
                <w:lang w:bidi="ar"/>
              </w:rPr>
            </w:pPr>
            <w:r>
              <w:rPr>
                <w:rFonts w:hint="eastAsia" w:ascii="仿宋_GB2312" w:hAnsi="仿宋_GB2312" w:eastAsia="仿宋_GB2312" w:cs="仿宋_GB2312"/>
                <w:b/>
                <w:bCs/>
                <w:color w:val="000000"/>
                <w:kern w:val="0"/>
                <w:sz w:val="28"/>
                <w:szCs w:val="28"/>
                <w:lang w:bidi="ar"/>
              </w:rPr>
              <w:t>具体举措：</w:t>
            </w:r>
          </w:p>
          <w:p>
            <w:pPr>
              <w:spacing w:line="400" w:lineRule="exact"/>
              <w:ind w:firstLine="560" w:firstLineChars="200"/>
              <w:rPr>
                <w:rFonts w:hint="eastAsia" w:ascii="仿宋_GB2312" w:hAnsi="仿宋_GB2312" w:eastAsia="仿宋_GB2312" w:cs="仿宋_GB2312"/>
                <w:color w:val="000000"/>
                <w:kern w:val="0"/>
                <w:sz w:val="28"/>
                <w:szCs w:val="28"/>
                <w:lang w:bidi="ar"/>
              </w:rPr>
            </w:pPr>
            <w:r>
              <w:rPr>
                <w:rFonts w:hint="eastAsia" w:ascii="仿宋_GB2312" w:hAnsi="仿宋_GB2312" w:eastAsia="仿宋_GB2312" w:cs="仿宋_GB2312"/>
                <w:color w:val="000000"/>
                <w:kern w:val="0"/>
                <w:sz w:val="28"/>
                <w:szCs w:val="28"/>
                <w:lang w:bidi="ar"/>
              </w:rPr>
              <w:t>通过五年的重点投入与建设，集中力量培育一批优</w:t>
            </w:r>
            <w:r>
              <w:rPr>
                <w:rFonts w:ascii="仿宋_GB2312" w:hAnsi="仿宋_GB2312" w:eastAsia="仿宋_GB2312" w:cs="仿宋_GB2312"/>
                <w:color w:val="000000"/>
                <w:kern w:val="0"/>
                <w:sz w:val="28"/>
                <w:szCs w:val="28"/>
                <w:lang w:bidi="ar"/>
              </w:rPr>
              <w:t>势特色学科，着力建设符合国家新增硕士授权点要求的优势学科群，为硕士学位授予立项建设单位建设奠定基础。以</w:t>
            </w:r>
            <w:r>
              <w:rPr>
                <w:rFonts w:hint="eastAsia" w:ascii="仿宋_GB2312" w:hAnsi="仿宋_GB2312" w:eastAsia="仿宋_GB2312" w:cs="仿宋_GB2312"/>
                <w:color w:val="000000"/>
                <w:kern w:val="0"/>
                <w:sz w:val="28"/>
                <w:szCs w:val="28"/>
                <w:lang w:bidi="ar"/>
              </w:rPr>
              <w:t>学校</w:t>
            </w:r>
            <w:r>
              <w:rPr>
                <w:rFonts w:ascii="仿宋_GB2312" w:hAnsi="仿宋_GB2312" w:eastAsia="仿宋_GB2312" w:cs="仿宋_GB2312"/>
                <w:color w:val="000000"/>
                <w:kern w:val="0"/>
                <w:sz w:val="28"/>
                <w:szCs w:val="28"/>
                <w:lang w:bidi="ar"/>
              </w:rPr>
              <w:t>优秀科研创新团队建设计划为抓手，力争培养在</w:t>
            </w:r>
            <w:r>
              <w:rPr>
                <w:rFonts w:hint="eastAsia" w:ascii="仿宋_GB2312" w:hAnsi="仿宋_GB2312" w:eastAsia="仿宋_GB2312" w:cs="仿宋_GB2312"/>
                <w:color w:val="000000"/>
                <w:kern w:val="0"/>
                <w:sz w:val="28"/>
                <w:szCs w:val="28"/>
                <w:lang w:bidi="ar"/>
              </w:rPr>
              <w:t>上海</w:t>
            </w:r>
            <w:r>
              <w:rPr>
                <w:rFonts w:ascii="仿宋_GB2312" w:hAnsi="仿宋_GB2312" w:eastAsia="仿宋_GB2312" w:cs="仿宋_GB2312"/>
                <w:color w:val="000000"/>
                <w:kern w:val="0"/>
                <w:sz w:val="28"/>
                <w:szCs w:val="28"/>
                <w:lang w:bidi="ar"/>
              </w:rPr>
              <w:t>及</w:t>
            </w:r>
            <w:r>
              <w:rPr>
                <w:rFonts w:hint="eastAsia" w:ascii="仿宋_GB2312" w:hAnsi="仿宋_GB2312" w:eastAsia="仿宋_GB2312" w:cs="仿宋_GB2312"/>
                <w:color w:val="000000"/>
                <w:kern w:val="0"/>
                <w:sz w:val="28"/>
                <w:szCs w:val="28"/>
                <w:lang w:bidi="ar"/>
              </w:rPr>
              <w:t>长三角</w:t>
            </w:r>
            <w:r>
              <w:rPr>
                <w:rFonts w:ascii="仿宋_GB2312" w:hAnsi="仿宋_GB2312" w:eastAsia="仿宋_GB2312" w:cs="仿宋_GB2312"/>
                <w:color w:val="000000"/>
                <w:kern w:val="0"/>
                <w:sz w:val="28"/>
                <w:szCs w:val="28"/>
                <w:lang w:bidi="ar"/>
              </w:rPr>
              <w:t>区域内有影响力的学科带头人、学术带头人和学术骨干队伍，形成几支在</w:t>
            </w:r>
            <w:r>
              <w:rPr>
                <w:rFonts w:hint="eastAsia" w:ascii="仿宋_GB2312" w:hAnsi="仿宋_GB2312" w:eastAsia="仿宋_GB2312" w:cs="仿宋_GB2312"/>
                <w:color w:val="000000"/>
                <w:kern w:val="0"/>
                <w:sz w:val="28"/>
                <w:szCs w:val="28"/>
                <w:lang w:bidi="ar"/>
              </w:rPr>
              <w:t>市</w:t>
            </w:r>
            <w:r>
              <w:rPr>
                <w:rFonts w:ascii="仿宋_GB2312" w:hAnsi="仿宋_GB2312" w:eastAsia="仿宋_GB2312" w:cs="仿宋_GB2312"/>
                <w:color w:val="000000"/>
                <w:kern w:val="0"/>
                <w:sz w:val="28"/>
                <w:szCs w:val="28"/>
                <w:lang w:bidi="ar"/>
              </w:rPr>
              <w:t>内</w:t>
            </w:r>
            <w:r>
              <w:rPr>
                <w:rFonts w:hint="eastAsia" w:ascii="仿宋_GB2312" w:hAnsi="仿宋_GB2312" w:eastAsia="仿宋_GB2312" w:cs="仿宋_GB2312"/>
                <w:color w:val="000000"/>
                <w:kern w:val="0"/>
                <w:sz w:val="28"/>
                <w:szCs w:val="28"/>
                <w:lang w:bidi="ar"/>
              </w:rPr>
              <w:t>及长三角区域</w:t>
            </w:r>
            <w:r>
              <w:rPr>
                <w:rFonts w:ascii="仿宋_GB2312" w:hAnsi="仿宋_GB2312" w:eastAsia="仿宋_GB2312" w:cs="仿宋_GB2312"/>
                <w:color w:val="000000"/>
                <w:kern w:val="0"/>
                <w:sz w:val="28"/>
                <w:szCs w:val="28"/>
                <w:lang w:bidi="ar"/>
              </w:rPr>
              <w:t>具有影响力的高水平科研创新团队。打造学科交叉、实力雄厚的科技创新平台，瞄准区域产业调整的新方向，结合</w:t>
            </w:r>
            <w:r>
              <w:rPr>
                <w:rFonts w:hint="eastAsia" w:ascii="仿宋_GB2312" w:hAnsi="仿宋_GB2312" w:eastAsia="仿宋_GB2312" w:cs="仿宋_GB2312"/>
                <w:color w:val="000000"/>
                <w:kern w:val="0"/>
                <w:sz w:val="28"/>
                <w:szCs w:val="28"/>
                <w:lang w:bidi="ar"/>
              </w:rPr>
              <w:t>上海“五个中心”、“四大品牌”和“五个新城”建设发展的</w:t>
            </w:r>
            <w:r>
              <w:rPr>
                <w:rFonts w:ascii="仿宋_GB2312" w:hAnsi="仿宋_GB2312" w:eastAsia="仿宋_GB2312" w:cs="仿宋_GB2312"/>
                <w:color w:val="000000"/>
                <w:kern w:val="0"/>
                <w:sz w:val="28"/>
                <w:szCs w:val="28"/>
                <w:lang w:bidi="ar"/>
              </w:rPr>
              <w:t>重大需</w:t>
            </w:r>
            <w:r>
              <w:rPr>
                <w:rFonts w:hint="eastAsia" w:ascii="仿宋_GB2312" w:hAnsi="仿宋_GB2312" w:eastAsia="仿宋_GB2312" w:cs="仿宋_GB2312"/>
                <w:color w:val="000000"/>
                <w:kern w:val="0"/>
                <w:sz w:val="28"/>
                <w:szCs w:val="28"/>
                <w:lang w:bidi="ar"/>
              </w:rPr>
              <w:t>求</w:t>
            </w:r>
            <w:r>
              <w:rPr>
                <w:rFonts w:ascii="仿宋_GB2312" w:hAnsi="仿宋_GB2312" w:eastAsia="仿宋_GB2312" w:cs="仿宋_GB2312"/>
                <w:color w:val="000000"/>
                <w:kern w:val="0"/>
                <w:sz w:val="28"/>
                <w:szCs w:val="28"/>
                <w:lang w:bidi="ar"/>
              </w:rPr>
              <w:t>，</w:t>
            </w:r>
            <w:r>
              <w:rPr>
                <w:rFonts w:hint="eastAsia" w:ascii="仿宋_GB2312" w:hAnsi="仿宋_GB2312" w:eastAsia="仿宋_GB2312" w:cs="仿宋_GB2312"/>
                <w:color w:val="000000"/>
                <w:kern w:val="0"/>
                <w:sz w:val="28"/>
                <w:szCs w:val="28"/>
                <w:lang w:bidi="ar"/>
              </w:rPr>
              <w:t>以科技创新为推动力，以提高科研质量为</w:t>
            </w:r>
            <w:r>
              <w:rPr>
                <w:rFonts w:ascii="仿宋_GB2312" w:hAnsi="仿宋_GB2312" w:eastAsia="仿宋_GB2312" w:cs="仿宋_GB2312"/>
                <w:color w:val="000000"/>
                <w:kern w:val="0"/>
                <w:sz w:val="28"/>
                <w:szCs w:val="28"/>
                <w:lang w:bidi="ar"/>
              </w:rPr>
              <w:t>核心，以服务地方经济社会为重点，强化应用研究，</w:t>
            </w:r>
            <w:r>
              <w:rPr>
                <w:rFonts w:hint="eastAsia" w:ascii="仿宋_GB2312" w:hAnsi="仿宋_GB2312" w:eastAsia="仿宋_GB2312" w:cs="仿宋_GB2312"/>
                <w:color w:val="000000"/>
                <w:kern w:val="0"/>
                <w:sz w:val="28"/>
                <w:szCs w:val="28"/>
                <w:lang w:bidi="ar"/>
              </w:rPr>
              <w:t>培育</w:t>
            </w:r>
            <w:r>
              <w:rPr>
                <w:rFonts w:ascii="仿宋_GB2312" w:hAnsi="仿宋_GB2312" w:eastAsia="仿宋_GB2312" w:cs="仿宋_GB2312"/>
                <w:color w:val="000000"/>
                <w:kern w:val="0"/>
                <w:sz w:val="28"/>
                <w:szCs w:val="28"/>
                <w:lang w:bidi="ar"/>
              </w:rPr>
              <w:t>高水平科研成果，力争重大科研项目和标志性科研成果获得新突破。到202</w:t>
            </w:r>
            <w:r>
              <w:rPr>
                <w:rFonts w:hint="eastAsia" w:ascii="仿宋_GB2312" w:hAnsi="仿宋_GB2312" w:eastAsia="仿宋_GB2312" w:cs="仿宋_GB2312"/>
                <w:color w:val="000000"/>
                <w:kern w:val="0"/>
                <w:sz w:val="28"/>
                <w:szCs w:val="28"/>
                <w:lang w:bidi="ar"/>
              </w:rPr>
              <w:t>5</w:t>
            </w:r>
            <w:r>
              <w:rPr>
                <w:rFonts w:ascii="仿宋_GB2312" w:hAnsi="仿宋_GB2312" w:eastAsia="仿宋_GB2312" w:cs="仿宋_GB2312"/>
                <w:color w:val="000000"/>
                <w:kern w:val="0"/>
                <w:sz w:val="28"/>
                <w:szCs w:val="28"/>
                <w:lang w:bidi="ar"/>
              </w:rPr>
              <w:t xml:space="preserve"> 年，师均年科研经费不低于</w:t>
            </w:r>
            <w:r>
              <w:rPr>
                <w:rFonts w:hint="eastAsia" w:ascii="仿宋_GB2312" w:hAnsi="仿宋_GB2312" w:eastAsia="仿宋_GB2312" w:cs="仿宋_GB2312"/>
                <w:color w:val="000000"/>
                <w:kern w:val="0"/>
                <w:sz w:val="28"/>
                <w:szCs w:val="28"/>
                <w:lang w:bidi="ar"/>
              </w:rPr>
              <w:t>1</w:t>
            </w:r>
            <w:r>
              <w:rPr>
                <w:rFonts w:ascii="仿宋_GB2312" w:hAnsi="仿宋_GB2312" w:eastAsia="仿宋_GB2312" w:cs="仿宋_GB2312"/>
                <w:color w:val="000000"/>
                <w:kern w:val="0"/>
                <w:sz w:val="28"/>
                <w:szCs w:val="28"/>
                <w:lang w:bidi="ar"/>
              </w:rPr>
              <w:t xml:space="preserve"> 万元。力争新增国家级科研项目</w:t>
            </w:r>
            <w:r>
              <w:rPr>
                <w:rFonts w:hint="eastAsia" w:ascii="仿宋_GB2312" w:hAnsi="仿宋_GB2312" w:eastAsia="仿宋_GB2312" w:cs="仿宋_GB2312"/>
                <w:color w:val="000000"/>
                <w:kern w:val="0"/>
                <w:sz w:val="28"/>
                <w:szCs w:val="28"/>
                <w:lang w:bidi="ar"/>
              </w:rPr>
              <w:t>2</w:t>
            </w:r>
            <w:r>
              <w:rPr>
                <w:rFonts w:ascii="仿宋_GB2312" w:hAnsi="仿宋_GB2312" w:eastAsia="仿宋_GB2312" w:cs="仿宋_GB2312"/>
                <w:color w:val="000000"/>
                <w:kern w:val="0"/>
                <w:sz w:val="28"/>
                <w:szCs w:val="28"/>
                <w:lang w:bidi="ar"/>
              </w:rPr>
              <w:t>项</w:t>
            </w:r>
            <w:r>
              <w:rPr>
                <w:rFonts w:hint="eastAsia" w:ascii="仿宋_GB2312" w:hAnsi="仿宋_GB2312" w:eastAsia="仿宋_GB2312" w:cs="仿宋_GB2312"/>
                <w:color w:val="000000"/>
                <w:kern w:val="0"/>
                <w:sz w:val="28"/>
                <w:szCs w:val="28"/>
                <w:lang w:bidi="ar"/>
              </w:rPr>
              <w:t>以上</w:t>
            </w:r>
            <w:r>
              <w:rPr>
                <w:rFonts w:ascii="仿宋_GB2312" w:hAnsi="仿宋_GB2312" w:eastAsia="仿宋_GB2312" w:cs="仿宋_GB2312"/>
                <w:color w:val="000000"/>
                <w:kern w:val="0"/>
                <w:sz w:val="28"/>
                <w:szCs w:val="28"/>
                <w:lang w:bidi="ar"/>
              </w:rPr>
              <w:t>，获省部级科研成果奖2项以上，获省部级以上教学成果奖 3项，出版优秀教材</w:t>
            </w:r>
            <w:r>
              <w:rPr>
                <w:rFonts w:hint="eastAsia" w:ascii="仿宋_GB2312" w:hAnsi="仿宋_GB2312" w:eastAsia="仿宋_GB2312" w:cs="仿宋_GB2312"/>
                <w:color w:val="000000"/>
                <w:kern w:val="0"/>
                <w:sz w:val="28"/>
                <w:szCs w:val="28"/>
                <w:lang w:bidi="ar"/>
              </w:rPr>
              <w:t>4</w:t>
            </w:r>
            <w:r>
              <w:rPr>
                <w:rFonts w:ascii="仿宋_GB2312" w:hAnsi="仿宋_GB2312" w:eastAsia="仿宋_GB2312" w:cs="仿宋_GB2312"/>
                <w:color w:val="000000"/>
                <w:kern w:val="0"/>
                <w:sz w:val="28"/>
                <w:szCs w:val="28"/>
                <w:lang w:bidi="ar"/>
              </w:rPr>
              <w:t>部以上，服务地方经济社会能力明显提升。</w:t>
            </w:r>
            <w:r>
              <w:rPr>
                <w:rFonts w:hint="eastAsia" w:ascii="仿宋_GB2312" w:hAnsi="仿宋_GB2312" w:eastAsia="仿宋_GB2312" w:cs="仿宋_GB2312"/>
                <w:color w:val="000000"/>
                <w:kern w:val="0"/>
                <w:sz w:val="28"/>
                <w:szCs w:val="28"/>
                <w:lang w:bidi="ar"/>
              </w:rPr>
              <w:t>取得良好的经济与社会效益。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3" w:hRule="atLeast"/>
          <w:jc w:val="center"/>
        </w:trPr>
        <w:tc>
          <w:tcPr>
            <w:tcW w:w="8711" w:type="dxa"/>
            <w:noWrap w:val="0"/>
            <w:vAlign w:val="top"/>
          </w:tcPr>
          <w:p>
            <w:pPr>
              <w:spacing w:line="400" w:lineRule="exact"/>
              <w:rPr>
                <w:rFonts w:hint="eastAsia" w:ascii="仿宋_GB2312" w:hAnsi="仿宋_GB2312" w:eastAsia="仿宋_GB2312" w:cs="仿宋_GB2312"/>
                <w:color w:val="000000"/>
                <w:kern w:val="0"/>
                <w:sz w:val="28"/>
                <w:szCs w:val="28"/>
                <w:lang w:bidi="ar"/>
              </w:rPr>
            </w:pPr>
            <w:r>
              <w:rPr>
                <w:rFonts w:hint="eastAsia" w:ascii="仿宋_GB2312" w:hAnsi="仿宋_GB2312" w:eastAsia="仿宋_GB2312" w:cs="仿宋_GB2312"/>
                <w:b/>
                <w:bCs/>
                <w:color w:val="000000"/>
                <w:kern w:val="0"/>
                <w:sz w:val="28"/>
                <w:szCs w:val="28"/>
                <w:lang w:bidi="ar"/>
              </w:rPr>
              <w:t>任务5:</w:t>
            </w:r>
            <w:r>
              <w:rPr>
                <w:rFonts w:hint="eastAsia" w:ascii="仿宋_GB2312" w:hAnsi="宋体" w:eastAsia="仿宋_GB2312" w:cs="仿宋_GB2312"/>
                <w:b/>
                <w:bCs/>
                <w:color w:val="000000"/>
                <w:kern w:val="0"/>
                <w:sz w:val="31"/>
                <w:szCs w:val="31"/>
                <w:lang w:val="en-US" w:eastAsia="zh-CN" w:bidi="ar"/>
              </w:rPr>
              <w:t>研究生教育条件建设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59" w:hRule="atLeast"/>
          <w:jc w:val="center"/>
        </w:trPr>
        <w:tc>
          <w:tcPr>
            <w:tcW w:w="8711" w:type="dxa"/>
            <w:noWrap w:val="0"/>
            <w:vAlign w:val="top"/>
          </w:tcPr>
          <w:p>
            <w:pPr>
              <w:spacing w:line="400" w:lineRule="exact"/>
              <w:rPr>
                <w:rFonts w:hint="eastAsia" w:ascii="仿宋_GB2312" w:hAnsi="仿宋_GB2312" w:eastAsia="仿宋_GB2312" w:cs="仿宋_GB2312"/>
                <w:b/>
                <w:bCs/>
                <w:color w:val="000000"/>
                <w:kern w:val="0"/>
                <w:sz w:val="28"/>
                <w:szCs w:val="28"/>
                <w:lang w:bidi="ar"/>
              </w:rPr>
            </w:pPr>
            <w:r>
              <w:rPr>
                <w:rFonts w:hint="eastAsia" w:ascii="仿宋_GB2312" w:hAnsi="仿宋_GB2312" w:eastAsia="仿宋_GB2312" w:cs="仿宋_GB2312"/>
                <w:b/>
                <w:bCs/>
                <w:color w:val="000000"/>
                <w:kern w:val="0"/>
                <w:sz w:val="28"/>
                <w:szCs w:val="28"/>
                <w:lang w:bidi="ar"/>
              </w:rPr>
              <w:t>具体举措：</w:t>
            </w:r>
          </w:p>
          <w:p>
            <w:pPr>
              <w:spacing w:line="400" w:lineRule="exact"/>
              <w:ind w:firstLine="560" w:firstLineChars="200"/>
              <w:rPr>
                <w:rFonts w:ascii="仿宋_GB2312" w:hAnsi="仿宋_GB2312" w:eastAsia="仿宋_GB2312" w:cs="仿宋_GB2312"/>
                <w:color w:val="000000"/>
                <w:kern w:val="0"/>
                <w:sz w:val="28"/>
                <w:szCs w:val="28"/>
                <w:lang w:bidi="ar"/>
              </w:rPr>
            </w:pPr>
            <w:r>
              <w:rPr>
                <w:rFonts w:hint="eastAsia" w:ascii="仿宋_GB2312" w:hAnsi="仿宋_GB2312" w:eastAsia="仿宋_GB2312" w:cs="仿宋_GB2312"/>
                <w:color w:val="000000"/>
                <w:kern w:val="0"/>
                <w:sz w:val="28"/>
                <w:szCs w:val="28"/>
                <w:lang w:bidi="ar"/>
              </w:rPr>
              <w:t>加强与地方政府、企业联系，</w:t>
            </w:r>
            <w:r>
              <w:rPr>
                <w:rFonts w:ascii="仿宋_GB2312" w:hAnsi="仿宋_GB2312" w:eastAsia="仿宋_GB2312" w:cs="仿宋_GB2312"/>
                <w:color w:val="000000"/>
                <w:kern w:val="0"/>
                <w:sz w:val="28"/>
                <w:szCs w:val="28"/>
                <w:lang w:bidi="ar"/>
              </w:rPr>
              <w:t>加快成立各地市校友会，加强与校友联系，争取社会各方对学校的支持</w:t>
            </w:r>
            <w:r>
              <w:rPr>
                <w:rFonts w:hint="eastAsia" w:ascii="仿宋_GB2312" w:hAnsi="仿宋_GB2312" w:eastAsia="仿宋_GB2312" w:cs="仿宋_GB2312"/>
                <w:color w:val="000000"/>
                <w:kern w:val="0"/>
                <w:sz w:val="28"/>
                <w:szCs w:val="28"/>
                <w:lang w:bidi="ar"/>
              </w:rPr>
              <w:t>，多方筹措资</w:t>
            </w:r>
            <w:r>
              <w:rPr>
                <w:rFonts w:ascii="仿宋_GB2312" w:hAnsi="仿宋_GB2312" w:eastAsia="仿宋_GB2312" w:cs="仿宋_GB2312"/>
                <w:color w:val="000000"/>
                <w:kern w:val="0"/>
                <w:sz w:val="28"/>
                <w:szCs w:val="28"/>
                <w:lang w:bidi="ar"/>
              </w:rPr>
              <w:t>金</w:t>
            </w:r>
            <w:r>
              <w:rPr>
                <w:rFonts w:hint="eastAsia" w:ascii="仿宋_GB2312" w:hAnsi="仿宋_GB2312" w:eastAsia="仿宋_GB2312" w:cs="仿宋_GB2312"/>
                <w:color w:val="000000"/>
                <w:kern w:val="0"/>
                <w:sz w:val="28"/>
                <w:szCs w:val="28"/>
                <w:lang w:bidi="ar"/>
              </w:rPr>
              <w:t>。优化学校招生计划，加强预算绩效</w:t>
            </w:r>
            <w:r>
              <w:rPr>
                <w:rFonts w:ascii="仿宋_GB2312" w:hAnsi="仿宋_GB2312" w:eastAsia="仿宋_GB2312" w:cs="仿宋_GB2312"/>
                <w:color w:val="000000"/>
                <w:kern w:val="0"/>
                <w:sz w:val="28"/>
                <w:szCs w:val="28"/>
                <w:lang w:bidi="ar"/>
              </w:rPr>
              <w:t>管理</w:t>
            </w:r>
            <w:r>
              <w:rPr>
                <w:rFonts w:hint="eastAsia" w:ascii="仿宋_GB2312" w:hAnsi="仿宋_GB2312" w:eastAsia="仿宋_GB2312" w:cs="仿宋_GB2312"/>
                <w:color w:val="000000"/>
                <w:kern w:val="0"/>
                <w:sz w:val="28"/>
                <w:szCs w:val="28"/>
                <w:lang w:bidi="ar"/>
              </w:rPr>
              <w:t>，</w:t>
            </w:r>
            <w:r>
              <w:rPr>
                <w:rFonts w:ascii="仿宋_GB2312" w:hAnsi="仿宋_GB2312" w:eastAsia="仿宋_GB2312" w:cs="仿宋_GB2312"/>
                <w:color w:val="000000"/>
                <w:kern w:val="0"/>
                <w:sz w:val="28"/>
                <w:szCs w:val="28"/>
                <w:lang w:bidi="ar"/>
              </w:rPr>
              <w:t>节约办学成本，提高办学效率</w:t>
            </w:r>
            <w:r>
              <w:rPr>
                <w:rFonts w:hint="eastAsia" w:ascii="仿宋_GB2312" w:hAnsi="仿宋_GB2312" w:eastAsia="仿宋_GB2312" w:cs="仿宋_GB2312"/>
                <w:color w:val="000000"/>
                <w:kern w:val="0"/>
                <w:sz w:val="28"/>
                <w:szCs w:val="28"/>
                <w:lang w:bidi="ar"/>
              </w:rPr>
              <w:t>。</w:t>
            </w:r>
            <w:r>
              <w:rPr>
                <w:rFonts w:ascii="仿宋_GB2312" w:hAnsi="仿宋_GB2312" w:eastAsia="仿宋_GB2312" w:cs="仿宋_GB2312"/>
                <w:color w:val="000000"/>
                <w:kern w:val="0"/>
                <w:sz w:val="28"/>
                <w:szCs w:val="28"/>
                <w:lang w:bidi="ar"/>
              </w:rPr>
              <w:t>加强校内资源管理，优化资源配置，改善教学科研实验平台与基本办学条件。到 202</w:t>
            </w:r>
            <w:r>
              <w:rPr>
                <w:rFonts w:hint="eastAsia" w:ascii="仿宋_GB2312" w:hAnsi="仿宋_GB2312" w:eastAsia="仿宋_GB2312" w:cs="仿宋_GB2312"/>
                <w:color w:val="000000"/>
                <w:kern w:val="0"/>
                <w:sz w:val="28"/>
                <w:szCs w:val="28"/>
                <w:lang w:bidi="ar"/>
              </w:rPr>
              <w:t>5</w:t>
            </w:r>
            <w:r>
              <w:rPr>
                <w:rFonts w:ascii="仿宋_GB2312" w:hAnsi="仿宋_GB2312" w:eastAsia="仿宋_GB2312" w:cs="仿宋_GB2312"/>
                <w:color w:val="000000"/>
                <w:kern w:val="0"/>
                <w:sz w:val="28"/>
                <w:szCs w:val="28"/>
                <w:lang w:bidi="ar"/>
              </w:rPr>
              <w:t>年，生均经费年收入不低于</w:t>
            </w:r>
            <w:r>
              <w:rPr>
                <w:rFonts w:hint="eastAsia" w:ascii="仿宋_GB2312" w:hAnsi="仿宋_GB2312" w:eastAsia="仿宋_GB2312" w:cs="仿宋_GB2312"/>
                <w:color w:val="000000"/>
                <w:kern w:val="0"/>
                <w:sz w:val="28"/>
                <w:szCs w:val="28"/>
                <w:lang w:bidi="ar"/>
              </w:rPr>
              <w:t>4</w:t>
            </w:r>
            <w:r>
              <w:rPr>
                <w:rFonts w:ascii="仿宋_GB2312" w:hAnsi="仿宋_GB2312" w:eastAsia="仿宋_GB2312" w:cs="仿宋_GB2312"/>
                <w:color w:val="000000"/>
                <w:kern w:val="0"/>
                <w:sz w:val="28"/>
                <w:szCs w:val="28"/>
                <w:lang w:bidi="ar"/>
              </w:rPr>
              <w:t>万元。</w:t>
            </w:r>
            <w:r>
              <w:rPr>
                <w:rFonts w:hint="eastAsia" w:ascii="仿宋_GB2312" w:hAnsi="仿宋_GB2312" w:eastAsia="仿宋_GB2312" w:cs="仿宋_GB2312"/>
                <w:color w:val="000000"/>
                <w:kern w:val="0"/>
                <w:sz w:val="28"/>
                <w:szCs w:val="28"/>
                <w:lang w:bidi="ar"/>
              </w:rPr>
              <w:t>增加学科专业经费投入，保证达到年均增长3-5%的目标。</w:t>
            </w:r>
            <w:r>
              <w:rPr>
                <w:rFonts w:ascii="仿宋_GB2312" w:hAnsi="仿宋_GB2312" w:eastAsia="仿宋_GB2312" w:cs="仿宋_GB2312"/>
                <w:color w:val="000000"/>
                <w:kern w:val="0"/>
                <w:sz w:val="28"/>
                <w:szCs w:val="28"/>
                <w:lang w:bidi="ar"/>
              </w:rPr>
              <w:t>具有支撑硕士研究生培养所必需的实验室、多媒体教学、</w:t>
            </w:r>
            <w:r>
              <w:rPr>
                <w:rFonts w:hint="eastAsia" w:ascii="仿宋_GB2312" w:hAnsi="仿宋_GB2312" w:eastAsia="仿宋_GB2312" w:cs="仿宋_GB2312"/>
                <w:color w:val="000000"/>
                <w:kern w:val="0"/>
                <w:sz w:val="28"/>
                <w:szCs w:val="28"/>
                <w:lang w:val="en-US" w:eastAsia="zh-CN" w:bidi="ar"/>
              </w:rPr>
              <w:t>联合培养</w:t>
            </w:r>
            <w:r>
              <w:rPr>
                <w:rFonts w:ascii="仿宋_GB2312" w:hAnsi="仿宋_GB2312" w:eastAsia="仿宋_GB2312" w:cs="仿宋_GB2312"/>
                <w:color w:val="000000"/>
                <w:kern w:val="0"/>
                <w:sz w:val="28"/>
                <w:szCs w:val="28"/>
                <w:lang w:bidi="ar"/>
              </w:rPr>
              <w:t>基地等教学实践平台，</w:t>
            </w:r>
            <w:r>
              <w:rPr>
                <w:rFonts w:hint="eastAsia" w:ascii="仿宋_GB2312" w:hAnsi="仿宋_GB2312" w:eastAsia="仿宋_GB2312" w:cs="仿宋_GB2312"/>
                <w:color w:val="000000"/>
                <w:kern w:val="0"/>
                <w:sz w:val="28"/>
                <w:szCs w:val="28"/>
                <w:lang w:bidi="ar"/>
              </w:rPr>
              <w:t>保证</w:t>
            </w:r>
            <w:r>
              <w:rPr>
                <w:rFonts w:ascii="仿宋_GB2312" w:hAnsi="仿宋_GB2312" w:eastAsia="仿宋_GB2312" w:cs="仿宋_GB2312"/>
                <w:color w:val="000000"/>
                <w:kern w:val="0"/>
                <w:sz w:val="28"/>
                <w:szCs w:val="28"/>
                <w:lang w:bidi="ar"/>
              </w:rPr>
              <w:t>拥有足够的教学科研仪器设备和图书资料。</w:t>
            </w:r>
            <w:r>
              <w:rPr>
                <w:rFonts w:hint="eastAsia" w:ascii="仿宋_GB2312" w:hAnsi="仿宋_GB2312" w:eastAsia="仿宋_GB2312" w:cs="仿宋_GB2312"/>
                <w:color w:val="000000"/>
                <w:kern w:val="0"/>
                <w:sz w:val="28"/>
                <w:szCs w:val="28"/>
                <w:lang w:bidi="ar"/>
              </w:rPr>
              <w:t>为实施专业硕士研究生培养打下扎实的基础。</w:t>
            </w:r>
          </w:p>
          <w:p>
            <w:pPr>
              <w:spacing w:line="400" w:lineRule="exact"/>
              <w:rPr>
                <w:rFonts w:hint="eastAsia" w:ascii="仿宋_GB2312" w:hAnsi="仿宋_GB2312" w:eastAsia="仿宋_GB2312" w:cs="仿宋_GB2312"/>
                <w:color w:val="000000"/>
                <w:kern w:val="0"/>
                <w:sz w:val="28"/>
                <w:szCs w:val="28"/>
                <w:lang w:bidi="ar"/>
              </w:rPr>
            </w:pPr>
          </w:p>
        </w:tc>
      </w:tr>
    </w:tbl>
    <w:p>
      <w:pPr>
        <w:rPr>
          <w:rFonts w:ascii="黑体" w:hAnsi="黑体" w:eastAsia="黑体" w:cs="黑体"/>
          <w:bCs/>
          <w:color w:val="000000"/>
          <w:sz w:val="30"/>
          <w:szCs w:val="30"/>
        </w:rPr>
      </w:pPr>
      <w:r>
        <w:rPr>
          <w:rFonts w:hint="eastAsia" w:ascii="黑体" w:hAnsi="黑体" w:eastAsia="黑体" w:cs="黑体"/>
          <w:bCs/>
          <w:color w:val="000000"/>
          <w:sz w:val="30"/>
          <w:szCs w:val="30"/>
        </w:rPr>
        <w:t>四、拟建设学位点名单</w:t>
      </w:r>
    </w:p>
    <w:tbl>
      <w:tblPr>
        <w:tblStyle w:val="9"/>
        <w:tblW w:w="0" w:type="auto"/>
        <w:tblInd w:w="19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30"/>
        <w:gridCol w:w="1745"/>
        <w:gridCol w:w="4139"/>
        <w:gridCol w:w="21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655" w:type="dxa"/>
            <w:gridSpan w:val="4"/>
            <w:noWrap w:val="0"/>
            <w:vAlign w:val="top"/>
          </w:tcPr>
          <w:p>
            <w:pPr>
              <w:spacing w:line="400" w:lineRule="exact"/>
              <w:rPr>
                <w:rFonts w:ascii="仿宋_GB2312" w:hAnsi="仿宋_GB2312" w:eastAsia="仿宋_GB2312" w:cs="仿宋_GB2312"/>
                <w:color w:val="000000"/>
                <w:kern w:val="0"/>
                <w:sz w:val="28"/>
                <w:szCs w:val="28"/>
                <w:lang w:bidi="ar"/>
              </w:rPr>
            </w:pPr>
            <w:r>
              <w:rPr>
                <w:rFonts w:hint="eastAsia" w:ascii="仿宋_GB2312" w:hAnsi="仿宋_GB2312" w:eastAsia="仿宋_GB2312" w:cs="仿宋_GB2312"/>
                <w:color w:val="000000"/>
                <w:kern w:val="0"/>
                <w:sz w:val="28"/>
                <w:szCs w:val="28"/>
                <w:lang w:bidi="ar"/>
              </w:rPr>
              <w:t>（仅填写与申请授予单位同级别的学位点，按优先级排序）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0" w:type="dxa"/>
            <w:noWrap w:val="0"/>
            <w:vAlign w:val="top"/>
          </w:tcPr>
          <w:p>
            <w:pPr>
              <w:jc w:val="center"/>
              <w:rPr>
                <w:rFonts w:ascii="黑体" w:hAnsi="黑体" w:eastAsia="黑体" w:cs="黑体"/>
                <w:bCs/>
                <w:color w:val="000000"/>
                <w:sz w:val="30"/>
                <w:szCs w:val="30"/>
              </w:rPr>
            </w:pPr>
            <w:r>
              <w:rPr>
                <w:rFonts w:hint="eastAsia" w:ascii="黑体" w:hAnsi="黑体" w:eastAsia="黑体" w:cs="黑体"/>
                <w:bCs/>
                <w:color w:val="000000"/>
                <w:sz w:val="30"/>
                <w:szCs w:val="30"/>
              </w:rPr>
              <w:t>序号</w:t>
            </w:r>
          </w:p>
        </w:tc>
        <w:tc>
          <w:tcPr>
            <w:tcW w:w="1745" w:type="dxa"/>
            <w:noWrap w:val="0"/>
            <w:vAlign w:val="top"/>
          </w:tcPr>
          <w:p>
            <w:pPr>
              <w:jc w:val="center"/>
              <w:rPr>
                <w:rFonts w:ascii="黑体" w:hAnsi="黑体" w:eastAsia="黑体" w:cs="黑体"/>
                <w:bCs/>
                <w:color w:val="000000"/>
                <w:sz w:val="30"/>
                <w:szCs w:val="30"/>
              </w:rPr>
            </w:pPr>
            <w:r>
              <w:rPr>
                <w:rFonts w:hint="eastAsia" w:ascii="黑体" w:hAnsi="黑体" w:eastAsia="黑体" w:cs="黑体"/>
                <w:bCs/>
                <w:color w:val="000000"/>
                <w:sz w:val="30"/>
                <w:szCs w:val="30"/>
              </w:rPr>
              <w:t>学科代码</w:t>
            </w:r>
          </w:p>
        </w:tc>
        <w:tc>
          <w:tcPr>
            <w:tcW w:w="4139" w:type="dxa"/>
            <w:noWrap w:val="0"/>
            <w:vAlign w:val="top"/>
          </w:tcPr>
          <w:p>
            <w:pPr>
              <w:jc w:val="center"/>
              <w:rPr>
                <w:rFonts w:ascii="黑体" w:hAnsi="黑体" w:eastAsia="黑体" w:cs="黑体"/>
                <w:bCs/>
                <w:color w:val="000000"/>
                <w:sz w:val="30"/>
                <w:szCs w:val="30"/>
              </w:rPr>
            </w:pPr>
            <w:r>
              <w:rPr>
                <w:rFonts w:hint="eastAsia" w:ascii="黑体" w:hAnsi="黑体" w:eastAsia="黑体" w:cs="黑体"/>
                <w:bCs/>
                <w:color w:val="000000"/>
                <w:sz w:val="30"/>
                <w:szCs w:val="30"/>
              </w:rPr>
              <w:t>学位点名称</w:t>
            </w:r>
          </w:p>
        </w:tc>
        <w:tc>
          <w:tcPr>
            <w:tcW w:w="2141" w:type="dxa"/>
            <w:noWrap w:val="0"/>
            <w:vAlign w:val="top"/>
          </w:tcPr>
          <w:p>
            <w:pPr>
              <w:jc w:val="center"/>
              <w:rPr>
                <w:rFonts w:ascii="黑体" w:hAnsi="黑体" w:eastAsia="黑体" w:cs="黑体"/>
                <w:bCs/>
                <w:color w:val="000000"/>
                <w:sz w:val="30"/>
                <w:szCs w:val="30"/>
              </w:rPr>
            </w:pPr>
            <w:r>
              <w:rPr>
                <w:rFonts w:hint="eastAsia" w:ascii="黑体" w:hAnsi="黑体" w:eastAsia="黑体" w:cs="黑体"/>
                <w:bCs/>
                <w:color w:val="000000"/>
                <w:sz w:val="30"/>
                <w:szCs w:val="30"/>
              </w:rPr>
              <w:t>层次级别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0" w:type="dxa"/>
            <w:noWrap w:val="0"/>
            <w:vAlign w:val="top"/>
          </w:tcPr>
          <w:p>
            <w:pPr>
              <w:rPr>
                <w:rFonts w:ascii="黑体" w:hAnsi="黑体" w:eastAsia="黑体" w:cs="黑体"/>
                <w:bCs/>
                <w:color w:val="000000"/>
                <w:sz w:val="30"/>
                <w:szCs w:val="30"/>
              </w:rPr>
            </w:pPr>
            <w:r>
              <w:rPr>
                <w:rFonts w:hint="eastAsia" w:ascii="黑体" w:hAnsi="黑体" w:eastAsia="黑体" w:cs="黑体"/>
                <w:bCs/>
                <w:color w:val="000000"/>
                <w:sz w:val="30"/>
                <w:szCs w:val="30"/>
              </w:rPr>
              <w:t>1</w:t>
            </w:r>
          </w:p>
        </w:tc>
        <w:tc>
          <w:tcPr>
            <w:tcW w:w="1745" w:type="dxa"/>
            <w:noWrap w:val="0"/>
            <w:vAlign w:val="top"/>
          </w:tcPr>
          <w:p>
            <w:pPr>
              <w:rPr>
                <w:rFonts w:ascii="黑体" w:hAnsi="黑体" w:eastAsia="黑体" w:cs="黑体"/>
                <w:bCs/>
                <w:color w:val="000000"/>
                <w:sz w:val="30"/>
                <w:szCs w:val="30"/>
              </w:rPr>
            </w:pPr>
            <w:r>
              <w:rPr>
                <w:rFonts w:ascii="黑体" w:hAnsi="黑体" w:eastAsia="黑体" w:cs="黑体"/>
                <w:bCs/>
                <w:color w:val="000000"/>
                <w:sz w:val="30"/>
                <w:szCs w:val="30"/>
              </w:rPr>
              <w:t>0551</w:t>
            </w:r>
          </w:p>
        </w:tc>
        <w:tc>
          <w:tcPr>
            <w:tcW w:w="4139" w:type="dxa"/>
            <w:noWrap w:val="0"/>
            <w:vAlign w:val="top"/>
          </w:tcPr>
          <w:p>
            <w:pPr>
              <w:rPr>
                <w:rFonts w:ascii="黑体" w:hAnsi="黑体" w:eastAsia="黑体" w:cs="黑体"/>
                <w:bCs/>
                <w:color w:val="000000"/>
                <w:sz w:val="30"/>
                <w:szCs w:val="30"/>
              </w:rPr>
            </w:pPr>
            <w:r>
              <w:rPr>
                <w:rFonts w:hint="eastAsia" w:ascii="黑体" w:hAnsi="黑体" w:eastAsia="黑体" w:cs="黑体"/>
                <w:bCs/>
                <w:color w:val="000000"/>
                <w:sz w:val="30"/>
                <w:szCs w:val="30"/>
              </w:rPr>
              <w:t>翻译</w:t>
            </w:r>
          </w:p>
        </w:tc>
        <w:tc>
          <w:tcPr>
            <w:tcW w:w="2141" w:type="dxa"/>
            <w:noWrap w:val="0"/>
            <w:vAlign w:val="top"/>
          </w:tcPr>
          <w:p>
            <w:pPr>
              <w:rPr>
                <w:rFonts w:ascii="黑体" w:hAnsi="黑体" w:eastAsia="黑体" w:cs="黑体"/>
                <w:bCs/>
                <w:color w:val="000000"/>
                <w:sz w:val="30"/>
                <w:szCs w:val="30"/>
              </w:rPr>
            </w:pPr>
            <w:r>
              <w:rPr>
                <w:rFonts w:hint="eastAsia" w:ascii="黑体" w:hAnsi="黑体" w:eastAsia="黑体" w:cs="黑体"/>
                <w:bCs/>
                <w:color w:val="000000"/>
                <w:sz w:val="30"/>
                <w:szCs w:val="30"/>
              </w:rPr>
              <w:t>专业硕士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0" w:type="dxa"/>
            <w:noWrap w:val="0"/>
            <w:vAlign w:val="top"/>
          </w:tcPr>
          <w:p>
            <w:pPr>
              <w:rPr>
                <w:rFonts w:ascii="黑体" w:hAnsi="黑体" w:eastAsia="黑体" w:cs="黑体"/>
                <w:bCs/>
                <w:color w:val="000000"/>
                <w:sz w:val="30"/>
                <w:szCs w:val="30"/>
              </w:rPr>
            </w:pPr>
            <w:r>
              <w:rPr>
                <w:rFonts w:hint="eastAsia" w:ascii="黑体" w:hAnsi="黑体" w:eastAsia="黑体" w:cs="黑体"/>
                <w:bCs/>
                <w:color w:val="000000"/>
                <w:sz w:val="30"/>
                <w:szCs w:val="30"/>
              </w:rPr>
              <w:t>2</w:t>
            </w:r>
          </w:p>
        </w:tc>
        <w:tc>
          <w:tcPr>
            <w:tcW w:w="1745" w:type="dxa"/>
            <w:noWrap w:val="0"/>
            <w:vAlign w:val="top"/>
          </w:tcPr>
          <w:p>
            <w:pPr>
              <w:rPr>
                <w:rFonts w:ascii="黑体" w:hAnsi="黑体" w:eastAsia="黑体" w:cs="黑体"/>
                <w:bCs/>
                <w:color w:val="000000"/>
                <w:sz w:val="30"/>
                <w:szCs w:val="30"/>
              </w:rPr>
            </w:pPr>
            <w:r>
              <w:rPr>
                <w:rFonts w:ascii="黑体" w:hAnsi="黑体" w:eastAsia="黑体" w:cs="黑体"/>
                <w:bCs/>
                <w:color w:val="000000"/>
                <w:sz w:val="30"/>
                <w:szCs w:val="30"/>
              </w:rPr>
              <w:t>0251</w:t>
            </w:r>
          </w:p>
        </w:tc>
        <w:tc>
          <w:tcPr>
            <w:tcW w:w="4139" w:type="dxa"/>
            <w:noWrap w:val="0"/>
            <w:vAlign w:val="top"/>
          </w:tcPr>
          <w:p>
            <w:pPr>
              <w:rPr>
                <w:rFonts w:ascii="黑体" w:hAnsi="黑体" w:eastAsia="黑体" w:cs="黑体"/>
                <w:bCs/>
                <w:color w:val="000000"/>
                <w:sz w:val="30"/>
                <w:szCs w:val="30"/>
              </w:rPr>
            </w:pPr>
            <w:r>
              <w:rPr>
                <w:rFonts w:ascii="黑体" w:hAnsi="黑体" w:eastAsia="黑体" w:cs="黑体"/>
                <w:bCs/>
                <w:color w:val="000000"/>
                <w:sz w:val="30"/>
                <w:szCs w:val="30"/>
              </w:rPr>
              <w:t>金融</w:t>
            </w:r>
          </w:p>
        </w:tc>
        <w:tc>
          <w:tcPr>
            <w:tcW w:w="2141" w:type="dxa"/>
            <w:noWrap w:val="0"/>
            <w:vAlign w:val="top"/>
          </w:tcPr>
          <w:p>
            <w:pPr>
              <w:rPr>
                <w:rFonts w:ascii="黑体" w:hAnsi="黑体" w:eastAsia="黑体" w:cs="黑体"/>
                <w:bCs/>
                <w:color w:val="000000"/>
                <w:sz w:val="30"/>
                <w:szCs w:val="30"/>
              </w:rPr>
            </w:pPr>
            <w:r>
              <w:rPr>
                <w:rFonts w:hint="eastAsia" w:ascii="黑体" w:hAnsi="黑体" w:eastAsia="黑体" w:cs="黑体"/>
                <w:bCs/>
                <w:color w:val="000000"/>
                <w:sz w:val="30"/>
                <w:szCs w:val="30"/>
              </w:rPr>
              <w:t>专业硕士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0" w:type="dxa"/>
            <w:noWrap w:val="0"/>
            <w:vAlign w:val="top"/>
          </w:tcPr>
          <w:p>
            <w:pPr>
              <w:rPr>
                <w:rFonts w:ascii="黑体" w:hAnsi="黑体" w:eastAsia="黑体" w:cs="黑体"/>
                <w:bCs/>
                <w:color w:val="000000"/>
                <w:sz w:val="30"/>
                <w:szCs w:val="30"/>
              </w:rPr>
            </w:pPr>
            <w:r>
              <w:rPr>
                <w:rFonts w:hint="eastAsia" w:ascii="黑体" w:hAnsi="黑体" w:eastAsia="黑体" w:cs="黑体"/>
                <w:bCs/>
                <w:color w:val="000000"/>
                <w:sz w:val="30"/>
                <w:szCs w:val="30"/>
              </w:rPr>
              <w:t>3</w:t>
            </w:r>
          </w:p>
        </w:tc>
        <w:tc>
          <w:tcPr>
            <w:tcW w:w="1745" w:type="dxa"/>
            <w:noWrap w:val="0"/>
            <w:vAlign w:val="top"/>
          </w:tcPr>
          <w:p>
            <w:pPr>
              <w:rPr>
                <w:rFonts w:ascii="黑体" w:hAnsi="黑体" w:eastAsia="黑体" w:cs="黑体"/>
                <w:bCs/>
                <w:color w:val="000000"/>
                <w:sz w:val="30"/>
                <w:szCs w:val="30"/>
              </w:rPr>
            </w:pPr>
            <w:r>
              <w:rPr>
                <w:rFonts w:ascii="黑体" w:hAnsi="黑体" w:eastAsia="黑体" w:cs="黑体"/>
                <w:bCs/>
                <w:color w:val="000000"/>
                <w:sz w:val="30"/>
                <w:szCs w:val="30"/>
              </w:rPr>
              <w:t>1351</w:t>
            </w:r>
          </w:p>
        </w:tc>
        <w:tc>
          <w:tcPr>
            <w:tcW w:w="4139" w:type="dxa"/>
            <w:noWrap w:val="0"/>
            <w:vAlign w:val="top"/>
          </w:tcPr>
          <w:p>
            <w:pPr>
              <w:rPr>
                <w:rFonts w:ascii="黑体" w:hAnsi="黑体" w:eastAsia="黑体" w:cs="黑体"/>
                <w:bCs/>
                <w:color w:val="000000"/>
                <w:sz w:val="30"/>
                <w:szCs w:val="30"/>
              </w:rPr>
            </w:pPr>
            <w:r>
              <w:rPr>
                <w:rFonts w:ascii="黑体" w:hAnsi="黑体" w:eastAsia="黑体" w:cs="黑体"/>
                <w:bCs/>
                <w:color w:val="000000"/>
                <w:sz w:val="30"/>
                <w:szCs w:val="30"/>
              </w:rPr>
              <w:t>艺术</w:t>
            </w:r>
          </w:p>
        </w:tc>
        <w:tc>
          <w:tcPr>
            <w:tcW w:w="2141" w:type="dxa"/>
            <w:noWrap w:val="0"/>
            <w:vAlign w:val="top"/>
          </w:tcPr>
          <w:p>
            <w:pPr>
              <w:rPr>
                <w:rFonts w:ascii="黑体" w:hAnsi="黑体" w:eastAsia="黑体" w:cs="黑体"/>
                <w:bCs/>
                <w:color w:val="000000"/>
                <w:sz w:val="30"/>
                <w:szCs w:val="30"/>
              </w:rPr>
            </w:pPr>
            <w:r>
              <w:rPr>
                <w:rFonts w:hint="eastAsia" w:ascii="黑体" w:hAnsi="黑体" w:eastAsia="黑体" w:cs="黑体"/>
                <w:bCs/>
                <w:color w:val="000000"/>
                <w:sz w:val="30"/>
                <w:szCs w:val="30"/>
              </w:rPr>
              <w:t>专业硕士</w:t>
            </w:r>
          </w:p>
        </w:tc>
      </w:tr>
    </w:tbl>
    <w:p>
      <w:pPr>
        <w:rPr>
          <w:rFonts w:hint="eastAsia" w:ascii="黑体" w:hAnsi="黑体" w:eastAsia="黑体" w:cs="黑体"/>
          <w:bCs/>
          <w:color w:val="000000"/>
          <w:sz w:val="30"/>
          <w:szCs w:val="30"/>
        </w:rPr>
      </w:pPr>
      <w:r>
        <w:rPr>
          <w:rFonts w:hint="eastAsia" w:ascii="黑体" w:hAnsi="黑体" w:eastAsia="黑体" w:cs="黑体"/>
          <w:bCs/>
          <w:color w:val="000000"/>
          <w:sz w:val="30"/>
          <w:szCs w:val="30"/>
        </w:rPr>
        <w:br w:type="page"/>
      </w:r>
      <w:r>
        <w:rPr>
          <w:rFonts w:hint="eastAsia" w:ascii="黑体" w:hAnsi="黑体" w:eastAsia="黑体" w:cs="黑体"/>
          <w:bCs/>
          <w:color w:val="000000"/>
          <w:sz w:val="30"/>
          <w:szCs w:val="30"/>
        </w:rPr>
        <w:t>五、拟建设学位点（学位点名称：</w:t>
      </w:r>
      <w:r>
        <w:rPr>
          <w:rFonts w:hint="eastAsia" w:ascii="黑体" w:hAnsi="黑体" w:eastAsia="黑体" w:cs="黑体"/>
          <w:bCs/>
          <w:color w:val="000000"/>
          <w:sz w:val="30"/>
          <w:szCs w:val="30"/>
          <w:lang w:val="en-US" w:eastAsia="zh-CN"/>
        </w:rPr>
        <w:t>翻译、金融、艺术</w:t>
      </w:r>
      <w:r>
        <w:rPr>
          <w:rFonts w:hint="eastAsia" w:ascii="黑体" w:hAnsi="黑体" w:eastAsia="黑体" w:cs="黑体"/>
          <w:bCs/>
          <w:color w:val="000000"/>
          <w:sz w:val="30"/>
          <w:szCs w:val="30"/>
        </w:rPr>
        <w:t xml:space="preserve">  ）建设基础</w:t>
      </w:r>
    </w:p>
    <w:tbl>
      <w:tblPr>
        <w:tblStyle w:val="9"/>
        <w:tblW w:w="892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9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360" w:hRule="atLeast"/>
          <w:jc w:val="center"/>
        </w:trPr>
        <w:tc>
          <w:tcPr>
            <w:tcW w:w="8923" w:type="dxa"/>
            <w:noWrap w:val="0"/>
            <w:vAlign w:val="top"/>
          </w:tcPr>
          <w:p>
            <w:pPr>
              <w:rPr>
                <w:rFonts w:ascii="仿宋_GB2312" w:hAnsi="Times New Roman" w:eastAsia="仿宋_GB2312" w:cs="Times New Roman"/>
                <w:b/>
                <w:bCs/>
                <w:color w:val="000000"/>
                <w:sz w:val="28"/>
                <w:szCs w:val="28"/>
              </w:rPr>
            </w:pPr>
            <w:r>
              <w:rPr>
                <w:rFonts w:hint="eastAsia" w:ascii="仿宋_GB2312" w:hAnsi="仿宋_GB2312" w:eastAsia="仿宋_GB2312" w:cs="仿宋_GB2312"/>
                <w:b/>
                <w:bCs/>
                <w:color w:val="000000"/>
                <w:kern w:val="0"/>
                <w:sz w:val="28"/>
                <w:szCs w:val="28"/>
                <w:lang w:bidi="ar"/>
              </w:rPr>
              <w:t>（一）</w:t>
            </w:r>
            <w:r>
              <w:rPr>
                <w:rFonts w:hint="eastAsia" w:ascii="仿宋_GB2312" w:hAnsi="仿宋_GB2312" w:eastAsia="仿宋_GB2312" w:cs="仿宋_GB2312"/>
                <w:b w:val="0"/>
                <w:bCs w:val="0"/>
                <w:color w:val="000000"/>
                <w:kern w:val="0"/>
                <w:sz w:val="28"/>
                <w:szCs w:val="28"/>
                <w:lang w:bidi="ar"/>
              </w:rPr>
              <w:t>《申请博士学位授权一级学科点简况表》</w:t>
            </w:r>
            <w:r>
              <w:rPr>
                <w:rFonts w:hint="eastAsia" w:ascii="仿宋_GB2312" w:hAnsi="仿宋_GB2312" w:eastAsia="仿宋_GB2312" w:cs="仿宋_GB2312"/>
                <w:color w:val="000000"/>
                <w:kern w:val="0"/>
                <w:sz w:val="28"/>
                <w:szCs w:val="28"/>
                <w:lang w:bidi="ar"/>
              </w:rPr>
              <w:t>或</w:t>
            </w:r>
            <w:r>
              <w:rPr>
                <w:rFonts w:hint="eastAsia" w:ascii="仿宋_GB2312" w:hAnsi="仿宋_GB2312" w:eastAsia="仿宋_GB2312" w:cs="仿宋_GB2312"/>
                <w:b w:val="0"/>
                <w:bCs w:val="0"/>
                <w:color w:val="000000"/>
                <w:kern w:val="0"/>
                <w:sz w:val="28"/>
                <w:szCs w:val="28"/>
                <w:lang w:bidi="ar"/>
              </w:rPr>
              <w:t>《申请博士硕士专业学位授权点简况表》（表格见学位</w:t>
            </w:r>
            <w:r>
              <w:rPr>
                <w:rFonts w:hint="eastAsia" w:ascii="仿宋_GB2312" w:hAnsi="仿宋_GB2312" w:eastAsia="仿宋_GB2312" w:cs="仿宋_GB2312"/>
                <w:b w:val="0"/>
                <w:bCs w:val="0"/>
                <w:color w:val="000000"/>
                <w:sz w:val="28"/>
                <w:szCs w:val="28"/>
              </w:rPr>
              <w:t>〔2020〕</w:t>
            </w:r>
            <w:r>
              <w:rPr>
                <w:rFonts w:hint="eastAsia" w:ascii="仿宋_GB2312" w:hAnsi="仿宋_GB2312" w:eastAsia="仿宋_GB2312" w:cs="仿宋_GB2312"/>
                <w:color w:val="000000"/>
                <w:sz w:val="28"/>
                <w:szCs w:val="28"/>
              </w:rPr>
              <w:t>22号，</w:t>
            </w:r>
            <w:r>
              <w:rPr>
                <w:rFonts w:hint="eastAsia" w:ascii="仿宋_GB2312" w:hAnsi="仿宋_GB2312" w:eastAsia="仿宋_GB2312" w:cs="仿宋_GB2312"/>
                <w:color w:val="000000"/>
                <w:kern w:val="0"/>
                <w:sz w:val="28"/>
                <w:szCs w:val="28"/>
                <w:lang w:bidi="ar"/>
              </w:rPr>
              <w:t>以附件形式提供）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09" w:hRule="atLeast"/>
          <w:jc w:val="center"/>
        </w:trPr>
        <w:tc>
          <w:tcPr>
            <w:tcW w:w="8923" w:type="dxa"/>
            <w:noWrap w:val="0"/>
            <w:vAlign w:val="top"/>
          </w:tcPr>
          <w:p>
            <w:pPr>
              <w:spacing w:line="400" w:lineRule="exact"/>
              <w:rPr>
                <w:rFonts w:hint="eastAsia" w:ascii="仿宋_GB2312" w:hAnsi="仿宋_GB2312" w:eastAsia="仿宋_GB2312" w:cs="仿宋_GB2312"/>
                <w:color w:val="000000"/>
                <w:kern w:val="0"/>
                <w:sz w:val="28"/>
                <w:szCs w:val="28"/>
                <w:lang w:bidi="ar"/>
              </w:rPr>
            </w:pPr>
            <w:r>
              <w:rPr>
                <w:rFonts w:hint="eastAsia" w:ascii="仿宋_GB2312" w:hAnsi="仿宋_GB2312" w:eastAsia="仿宋_GB2312" w:cs="仿宋_GB2312"/>
                <w:b/>
                <w:bCs/>
                <w:color w:val="000000"/>
                <w:kern w:val="0"/>
                <w:sz w:val="28"/>
                <w:szCs w:val="28"/>
                <w:lang w:bidi="ar"/>
              </w:rPr>
              <w:t>（二）对标《学位授权审核申请基本条件（2020）》的主要问题与短板</w:t>
            </w:r>
          </w:p>
          <w:p>
            <w:pPr>
              <w:spacing w:line="400" w:lineRule="exact"/>
              <w:ind w:firstLine="560" w:firstLineChars="200"/>
              <w:rPr>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kern w:val="0"/>
                <w:sz w:val="28"/>
                <w:szCs w:val="28"/>
                <w:lang w:bidi="ar"/>
                <w14:textFill>
                  <w14:solidFill>
                    <w14:schemeClr w14:val="tx1"/>
                  </w14:solidFill>
                </w14:textFill>
              </w:rPr>
              <w:t>2020年以前，学校分为虹口、崇明两个校区办学，教学行政用房资源紧张，虹口校区和崇明校区一期工程教学行政用房总的建筑面积79379.62平方米，建有各类教室277间。教学行政用房的紧张，成了制约学校发展的瓶颈。为了解决这一瓶颈问题，学校在2019年12月努力取得崇明校区二期土地不动产权证书，使得崇明校区土地面积达到500亩，全部落实了法人财产权。崇明二期工程土地面积370亩，规划建筑面积246376.83平方米，总投资约15亿元，建设教学用房136092.61平方米、宿舍用房94758.36平方米、辅助用房15525.86平方米。2021年9月已投入使用部分教学楼及宿舍楼，其余建筑将在二至三年内完成建设。至此，解决了学校教育场所与教学条件不足的困难，办学条件</w:t>
            </w:r>
            <w:r>
              <w:rPr>
                <w:rFonts w:hint="eastAsia" w:ascii="仿宋_GB2312" w:hAnsi="仿宋_GB2312" w:eastAsia="仿宋_GB2312" w:cs="仿宋_GB2312"/>
                <w:color w:val="000000" w:themeColor="text1"/>
                <w:kern w:val="0"/>
                <w:sz w:val="28"/>
                <w:szCs w:val="28"/>
                <w:lang w:val="en-US" w:eastAsia="zh-CN" w:bidi="ar"/>
                <w14:textFill>
                  <w14:solidFill>
                    <w14:schemeClr w14:val="tx1"/>
                  </w14:solidFill>
                </w14:textFill>
              </w:rPr>
              <w:t>取得了良好的改善，</w:t>
            </w:r>
            <w:r>
              <w:rPr>
                <w:rFonts w:hint="eastAsia" w:ascii="仿宋_GB2312" w:hAnsi="仿宋_GB2312" w:eastAsia="仿宋_GB2312" w:cs="仿宋_GB2312"/>
                <w:color w:val="000000" w:themeColor="text1"/>
                <w:kern w:val="0"/>
                <w:sz w:val="28"/>
                <w:szCs w:val="28"/>
                <w:lang w:bidi="ar"/>
                <w14:textFill>
                  <w14:solidFill>
                    <w14:schemeClr w14:val="tx1"/>
                  </w14:solidFill>
                </w14:textFill>
              </w:rPr>
              <w:t>为今后可持续、快速发展奠定了重要基础。</w:t>
            </w:r>
            <w:r>
              <w:rPr>
                <w:rFonts w:hint="eastAsia" w:ascii="仿宋_GB2312" w:hAnsi="仿宋_GB2312" w:eastAsia="仿宋_GB2312" w:cs="仿宋_GB2312"/>
                <w:b/>
                <w:bCs/>
                <w:color w:val="000000" w:themeColor="text1"/>
                <w:kern w:val="0"/>
                <w:sz w:val="28"/>
                <w:szCs w:val="28"/>
                <w:lang w:bidi="ar"/>
                <w14:textFill>
                  <w14:solidFill>
                    <w14:schemeClr w14:val="tx1"/>
                  </w14:solidFill>
                </w14:textFill>
              </w:rPr>
              <w:t>对标《学位授权审核申请基本条件（2020）》</w:t>
            </w:r>
            <w:r>
              <w:rPr>
                <w:rFonts w:hint="eastAsia" w:ascii="仿宋_GB2312" w:hAnsi="仿宋_GB2312" w:eastAsia="仿宋_GB2312" w:cs="仿宋_GB2312"/>
                <w:b/>
                <w:bCs/>
                <w:color w:val="000000" w:themeColor="text1"/>
                <w:kern w:val="0"/>
                <w:sz w:val="28"/>
                <w:szCs w:val="28"/>
                <w:lang w:val="en-US" w:eastAsia="zh-CN" w:bidi="ar"/>
                <w14:textFill>
                  <w14:solidFill>
                    <w14:schemeClr w14:val="tx1"/>
                  </w14:solidFill>
                </w14:textFill>
              </w:rPr>
              <w:t>学校目前存在</w:t>
            </w:r>
            <w:r>
              <w:rPr>
                <w:rFonts w:hint="eastAsia" w:ascii="仿宋_GB2312" w:hAnsi="仿宋_GB2312" w:eastAsia="仿宋_GB2312" w:cs="仿宋_GB2312"/>
                <w:b/>
                <w:bCs/>
                <w:color w:val="000000" w:themeColor="text1"/>
                <w:kern w:val="0"/>
                <w:sz w:val="28"/>
                <w:szCs w:val="28"/>
                <w:lang w:bidi="ar"/>
                <w14:textFill>
                  <w14:solidFill>
                    <w14:schemeClr w14:val="tx1"/>
                  </w14:solidFill>
                </w14:textFill>
              </w:rPr>
              <w:t>的主要问题与短板</w:t>
            </w:r>
            <w:r>
              <w:rPr>
                <w:rFonts w:hint="eastAsia" w:ascii="仿宋_GB2312" w:hAnsi="仿宋_GB2312" w:eastAsia="仿宋_GB2312" w:cs="仿宋_GB2312"/>
                <w:b/>
                <w:bCs/>
                <w:color w:val="000000" w:themeColor="text1"/>
                <w:kern w:val="0"/>
                <w:sz w:val="28"/>
                <w:szCs w:val="28"/>
                <w:lang w:val="en-US" w:eastAsia="zh-CN" w:bidi="ar"/>
                <w14:textFill>
                  <w14:solidFill>
                    <w14:schemeClr w14:val="tx1"/>
                  </w14:solidFill>
                </w14:textFill>
              </w:rPr>
              <w:t>如下：</w:t>
            </w:r>
          </w:p>
          <w:p>
            <w:pPr>
              <w:spacing w:line="400" w:lineRule="exact"/>
              <w:ind w:firstLine="560" w:firstLineChars="200"/>
              <w:rPr>
                <w:rFonts w:hint="eastAsia" w:ascii="仿宋_GB2312" w:hAnsi="仿宋_GB2312" w:eastAsia="仿宋_GB2312" w:cs="仿宋_GB2312"/>
                <w:color w:val="000000" w:themeColor="text1"/>
                <w:kern w:val="0"/>
                <w:sz w:val="28"/>
                <w:szCs w:val="28"/>
                <w:lang w:bidi="ar"/>
                <w14:textFill>
                  <w14:solidFill>
                    <w14:schemeClr w14:val="tx1"/>
                  </w14:solidFill>
                </w14:textFill>
              </w:rPr>
            </w:pPr>
            <w:r>
              <w:rPr>
                <w:rFonts w:hint="eastAsia" w:ascii="仿宋_GB2312" w:hAnsi="仿宋_GB2312" w:eastAsia="仿宋_GB2312" w:cs="仿宋_GB2312"/>
                <w:color w:val="000000" w:themeColor="text1"/>
                <w:kern w:val="0"/>
                <w:sz w:val="28"/>
                <w:szCs w:val="28"/>
                <w:lang w:bidi="ar"/>
                <w14:textFill>
                  <w14:solidFill>
                    <w14:schemeClr w14:val="tx1"/>
                  </w14:solidFill>
                </w14:textFill>
              </w:rPr>
              <w:t>1.随着学校办学规模的逐步扩大，师资队伍的数量和结构需要改善。高层次领军人才的数量有待增加，生师比为19.7：1，与不超过17：1的标准尚有差距。</w:t>
            </w:r>
          </w:p>
          <w:p>
            <w:pPr>
              <w:spacing w:line="400" w:lineRule="exact"/>
              <w:ind w:firstLine="560" w:firstLineChars="200"/>
              <w:rPr>
                <w:rFonts w:hint="eastAsia" w:ascii="仿宋_GB2312" w:hAnsi="仿宋_GB2312" w:eastAsia="仿宋_GB2312" w:cs="仿宋_GB2312"/>
                <w:color w:val="000000" w:themeColor="text1"/>
                <w:kern w:val="0"/>
                <w:sz w:val="28"/>
                <w:szCs w:val="28"/>
                <w:lang w:bidi="ar"/>
                <w14:textFill>
                  <w14:solidFill>
                    <w14:schemeClr w14:val="tx1"/>
                  </w14:solidFill>
                </w14:textFill>
              </w:rPr>
            </w:pPr>
            <w:r>
              <w:rPr>
                <w:rFonts w:hint="eastAsia" w:ascii="仿宋_GB2312" w:hAnsi="仿宋_GB2312" w:eastAsia="仿宋_GB2312" w:cs="仿宋_GB2312"/>
                <w:color w:val="000000" w:themeColor="text1"/>
                <w:kern w:val="0"/>
                <w:sz w:val="28"/>
                <w:szCs w:val="28"/>
                <w:lang w:bidi="ar"/>
                <w14:textFill>
                  <w14:solidFill>
                    <w14:schemeClr w14:val="tx1"/>
                  </w14:solidFill>
                </w14:textFill>
              </w:rPr>
              <w:t>2.学科专业布局与特色发展尚需加强，一流本科专业、一流本科课程建设目前还没有取得突破性进展。学科结构布局需进一步优化，文、经、管学科需加强特色发展，并提前谋划学科布局与经济社会发展趋势相匹配的新兴学科和专业，探索各学科之间的交叉、融合与渗透，依托优势学科专业培育交叉学科方向，打造特色学科专业群。</w:t>
            </w:r>
          </w:p>
          <w:p>
            <w:pPr>
              <w:spacing w:line="400" w:lineRule="exact"/>
              <w:ind w:firstLine="560" w:firstLineChars="200"/>
              <w:rPr>
                <w:rFonts w:hint="eastAsia" w:ascii="仿宋_GB2312" w:hAnsi="仿宋_GB2312" w:eastAsia="仿宋_GB2312" w:cs="仿宋_GB2312"/>
                <w:color w:val="000000" w:themeColor="text1"/>
                <w:kern w:val="0"/>
                <w:sz w:val="28"/>
                <w:szCs w:val="28"/>
                <w:lang w:bidi="ar"/>
                <w14:textFill>
                  <w14:solidFill>
                    <w14:schemeClr w14:val="tx1"/>
                  </w14:solidFill>
                </w14:textFill>
              </w:rPr>
            </w:pPr>
            <w:r>
              <w:rPr>
                <w:rFonts w:hint="eastAsia" w:ascii="仿宋_GB2312" w:hAnsi="仿宋_GB2312" w:eastAsia="仿宋_GB2312" w:cs="仿宋_GB2312"/>
                <w:color w:val="000000" w:themeColor="text1"/>
                <w:kern w:val="0"/>
                <w:sz w:val="28"/>
                <w:szCs w:val="28"/>
                <w:lang w:bidi="ar"/>
                <w14:textFill>
                  <w14:solidFill>
                    <w14:schemeClr w14:val="tx1"/>
                  </w14:solidFill>
                </w14:textFill>
              </w:rPr>
              <w:t xml:space="preserve">3.科研方面存在高水平创新团队不足现象，应用研究水平和产学研结合的社会服务能力有待提升，具有重要影响力的省部级科研立项和原创性科研成果有待突破。 </w:t>
            </w:r>
          </w:p>
          <w:p>
            <w:pPr>
              <w:spacing w:line="400" w:lineRule="exact"/>
              <w:ind w:firstLine="560" w:firstLineChars="200"/>
              <w:rPr>
                <w:rFonts w:hint="eastAsia" w:ascii="仿宋_GB2312" w:hAnsi="仿宋_GB2312" w:eastAsia="仿宋_GB2312" w:cs="仿宋_GB2312"/>
                <w:color w:val="000000"/>
                <w:kern w:val="0"/>
                <w:sz w:val="28"/>
                <w:szCs w:val="28"/>
                <w:lang w:bidi="ar"/>
              </w:rPr>
            </w:pPr>
            <w:r>
              <w:rPr>
                <w:rFonts w:hint="eastAsia" w:ascii="仿宋_GB2312" w:hAnsi="仿宋_GB2312" w:eastAsia="仿宋_GB2312" w:cs="仿宋_GB2312"/>
                <w:color w:val="000000" w:themeColor="text1"/>
                <w:kern w:val="0"/>
                <w:sz w:val="28"/>
                <w:szCs w:val="28"/>
                <w:lang w:val="en-US" w:eastAsia="zh-CN" w:bidi="ar"/>
                <w14:textFill>
                  <w14:solidFill>
                    <w14:schemeClr w14:val="tx1"/>
                  </w14:solidFill>
                </w14:textFill>
              </w:rPr>
              <w:t>4</w:t>
            </w:r>
            <w:r>
              <w:rPr>
                <w:rFonts w:hint="eastAsia" w:ascii="仿宋_GB2312" w:hAnsi="仿宋_GB2312" w:eastAsia="仿宋_GB2312" w:cs="仿宋_GB2312"/>
                <w:color w:val="000000" w:themeColor="text1"/>
                <w:kern w:val="0"/>
                <w:sz w:val="28"/>
                <w:szCs w:val="28"/>
                <w:lang w:bidi="ar"/>
                <w14:textFill>
                  <w14:solidFill>
                    <w14:schemeClr w14:val="tx1"/>
                  </w14:solidFill>
                </w14:textFill>
              </w:rPr>
              <w:t>.</w:t>
            </w:r>
            <w:r>
              <w:rPr>
                <w:rFonts w:hint="eastAsia" w:ascii="仿宋_GB2312" w:hAnsi="仿宋_GB2312" w:eastAsia="仿宋_GB2312" w:cs="仿宋_GB2312"/>
                <w:color w:val="000000" w:themeColor="text1"/>
                <w:kern w:val="0"/>
                <w:sz w:val="28"/>
                <w:szCs w:val="28"/>
                <w:lang w:val="en-US" w:eastAsia="zh-CN" w:bidi="ar"/>
                <w14:textFill>
                  <w14:solidFill>
                    <w14:schemeClr w14:val="tx1"/>
                  </w14:solidFill>
                </w14:textFill>
              </w:rPr>
              <w:t>研究生教育条件尚存不足，通过培育建设努力达到专业硕士研究生培养条件。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1" w:hRule="atLeast"/>
          <w:jc w:val="center"/>
        </w:trPr>
        <w:tc>
          <w:tcPr>
            <w:tcW w:w="8923" w:type="dxa"/>
            <w:noWrap w:val="0"/>
            <w:vAlign w:val="top"/>
          </w:tcPr>
          <w:p>
            <w:pPr>
              <w:spacing w:line="400" w:lineRule="exact"/>
              <w:rPr>
                <w:rFonts w:ascii="仿宋_GB2312" w:hAnsi="仿宋_GB2312" w:eastAsia="仿宋_GB2312" w:cs="仿宋_GB2312"/>
                <w:color w:val="000000"/>
                <w:kern w:val="0"/>
                <w:sz w:val="28"/>
                <w:szCs w:val="28"/>
                <w:lang w:bidi="ar"/>
              </w:rPr>
            </w:pPr>
            <w:r>
              <w:rPr>
                <w:rFonts w:hint="eastAsia" w:ascii="仿宋_GB2312" w:hAnsi="仿宋_GB2312" w:eastAsia="仿宋_GB2312" w:cs="仿宋_GB2312"/>
                <w:color w:val="000000"/>
                <w:kern w:val="0"/>
                <w:sz w:val="28"/>
                <w:szCs w:val="28"/>
                <w:lang w:bidi="ar"/>
              </w:rPr>
              <w:t>（三）2020年学位授权审核失利的主要原因（如参加，请简要分析）</w:t>
            </w:r>
          </w:p>
          <w:p>
            <w:pPr>
              <w:spacing w:line="400" w:lineRule="exact"/>
              <w:rPr>
                <w:rFonts w:ascii="仿宋_GB2312" w:hAnsi="仿宋_GB2312" w:eastAsia="仿宋_GB2312" w:cs="仿宋_GB2312"/>
                <w:color w:val="000000"/>
                <w:kern w:val="0"/>
                <w:sz w:val="28"/>
                <w:szCs w:val="28"/>
                <w:lang w:bidi="ar"/>
              </w:rPr>
            </w:pPr>
          </w:p>
          <w:p>
            <w:pPr>
              <w:spacing w:line="400" w:lineRule="exact"/>
              <w:ind w:firstLine="562" w:firstLineChars="200"/>
              <w:rPr>
                <w:rFonts w:hint="default" w:ascii="仿宋_GB2312" w:hAnsi="仿宋_GB2312" w:eastAsia="仿宋_GB2312" w:cs="仿宋_GB2312"/>
                <w:b/>
                <w:bCs/>
                <w:color w:val="000000" w:themeColor="text1"/>
                <w:kern w:val="0"/>
                <w:sz w:val="28"/>
                <w:szCs w:val="28"/>
                <w:lang w:val="en-US" w:eastAsia="zh-CN" w:bidi="ar"/>
                <w14:textFill>
                  <w14:solidFill>
                    <w14:schemeClr w14:val="tx1"/>
                  </w14:solidFill>
                </w14:textFill>
              </w:rPr>
            </w:pPr>
            <w:r>
              <w:rPr>
                <w:rFonts w:hint="eastAsia" w:ascii="仿宋_GB2312" w:hAnsi="仿宋_GB2312" w:eastAsia="仿宋_GB2312" w:cs="仿宋_GB2312"/>
                <w:b/>
                <w:bCs/>
                <w:color w:val="000000" w:themeColor="text1"/>
                <w:kern w:val="0"/>
                <w:sz w:val="28"/>
                <w:szCs w:val="28"/>
                <w:lang w:val="en-US" w:eastAsia="zh-CN" w:bidi="ar"/>
                <w14:textFill>
                  <w14:solidFill>
                    <w14:schemeClr w14:val="tx1"/>
                  </w14:solidFill>
                </w14:textFill>
              </w:rPr>
              <w:t>本校的三个拟建学位点没有参加2020年学位授权审核。</w:t>
            </w:r>
          </w:p>
          <w:p>
            <w:pPr>
              <w:spacing w:line="400" w:lineRule="exact"/>
              <w:rPr>
                <w:rFonts w:ascii="仿宋_GB2312" w:hAnsi="仿宋_GB2312" w:eastAsia="仿宋_GB2312" w:cs="仿宋_GB2312"/>
                <w:color w:val="000000"/>
                <w:kern w:val="0"/>
                <w:sz w:val="28"/>
                <w:szCs w:val="28"/>
                <w:lang w:bidi="ar"/>
              </w:rPr>
            </w:pPr>
          </w:p>
        </w:tc>
      </w:tr>
    </w:tbl>
    <w:p>
      <w:pPr>
        <w:rPr>
          <w:rFonts w:hint="eastAsia" w:ascii="黑体" w:hAnsi="黑体" w:eastAsia="黑体" w:cs="黑体"/>
          <w:bCs/>
          <w:color w:val="000000"/>
          <w:sz w:val="30"/>
          <w:szCs w:val="30"/>
        </w:rPr>
      </w:pPr>
    </w:p>
    <w:p>
      <w:pPr>
        <w:rPr>
          <w:rFonts w:ascii="黑体" w:hAnsi="黑体" w:eastAsia="黑体" w:cs="黑体"/>
          <w:bCs/>
          <w:color w:val="000000"/>
          <w:sz w:val="30"/>
          <w:szCs w:val="30"/>
        </w:rPr>
      </w:pPr>
      <w:r>
        <w:rPr>
          <w:rFonts w:hint="eastAsia" w:ascii="黑体" w:hAnsi="黑体" w:eastAsia="黑体" w:cs="黑体"/>
          <w:bCs/>
          <w:color w:val="000000"/>
          <w:sz w:val="30"/>
          <w:szCs w:val="30"/>
        </w:rPr>
        <w:t>六、拟建设学位点（学位点名称：翻译专业硕士  ）任务与举措</w:t>
      </w:r>
    </w:p>
    <w:tbl>
      <w:tblPr>
        <w:tblStyle w:val="9"/>
        <w:tblW w:w="871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4" w:hRule="atLeast"/>
          <w:jc w:val="center"/>
        </w:trPr>
        <w:tc>
          <w:tcPr>
            <w:tcW w:w="8711" w:type="dxa"/>
            <w:noWrap w:val="0"/>
            <w:vAlign w:val="top"/>
          </w:tcPr>
          <w:p>
            <w:pPr>
              <w:widowControl/>
              <w:jc w:val="left"/>
              <w:rPr>
                <w:rFonts w:ascii="仿宋_GB2312" w:hAnsi="仿宋_GB2312" w:eastAsia="仿宋_GB2312" w:cs="仿宋_GB2312"/>
                <w:color w:val="000000"/>
                <w:kern w:val="0"/>
                <w:sz w:val="28"/>
                <w:szCs w:val="28"/>
                <w:lang w:bidi="ar"/>
              </w:rPr>
            </w:pPr>
            <w:r>
              <w:rPr>
                <w:rFonts w:hint="eastAsia" w:ascii="仿宋_GB2312" w:hAnsi="仿宋_GB2312" w:eastAsia="仿宋_GB2312" w:cs="仿宋_GB2312"/>
                <w:b/>
                <w:bCs/>
                <w:color w:val="000000"/>
                <w:kern w:val="0"/>
                <w:sz w:val="28"/>
                <w:szCs w:val="28"/>
                <w:lang w:bidi="ar"/>
              </w:rPr>
              <w:t xml:space="preserve">任务1：学科专业特色建设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86" w:hRule="atLeast"/>
          <w:jc w:val="center"/>
        </w:trPr>
        <w:tc>
          <w:tcPr>
            <w:tcW w:w="8711" w:type="dxa"/>
            <w:noWrap w:val="0"/>
            <w:vAlign w:val="top"/>
          </w:tcPr>
          <w:p>
            <w:pPr>
              <w:spacing w:line="400" w:lineRule="exact"/>
              <w:rPr>
                <w:rFonts w:hint="eastAsia" w:ascii="仿宋_GB2312" w:hAnsi="仿宋_GB2312" w:eastAsia="仿宋_GB2312" w:cs="仿宋_GB2312"/>
                <w:b/>
                <w:bCs/>
                <w:color w:val="000000"/>
                <w:kern w:val="0"/>
                <w:sz w:val="28"/>
                <w:szCs w:val="28"/>
                <w:lang w:bidi="ar"/>
              </w:rPr>
            </w:pPr>
            <w:r>
              <w:rPr>
                <w:rFonts w:hint="eastAsia" w:ascii="仿宋_GB2312" w:hAnsi="仿宋_GB2312" w:eastAsia="仿宋_GB2312" w:cs="仿宋_GB2312"/>
                <w:b/>
                <w:bCs/>
                <w:color w:val="000000"/>
                <w:kern w:val="0"/>
                <w:sz w:val="28"/>
                <w:szCs w:val="28"/>
                <w:lang w:bidi="ar"/>
              </w:rPr>
              <w:t>具体举措:</w:t>
            </w:r>
          </w:p>
          <w:p>
            <w:pPr>
              <w:spacing w:line="400" w:lineRule="exact"/>
              <w:ind w:firstLine="562" w:firstLineChars="200"/>
              <w:rPr>
                <w:rFonts w:hint="eastAsia" w:ascii="仿宋_GB2312" w:hAnsi="仿宋_GB2312" w:eastAsia="仿宋_GB2312" w:cs="仿宋_GB2312"/>
                <w:color w:val="000000"/>
                <w:kern w:val="0"/>
                <w:sz w:val="28"/>
                <w:szCs w:val="28"/>
                <w:lang w:bidi="ar"/>
              </w:rPr>
            </w:pPr>
            <w:r>
              <w:rPr>
                <w:rFonts w:hint="eastAsia" w:ascii="仿宋_GB2312" w:hAnsi="仿宋_GB2312" w:eastAsia="仿宋_GB2312" w:cs="仿宋_GB2312"/>
                <w:b/>
                <w:bCs/>
                <w:color w:val="000000"/>
                <w:kern w:val="0"/>
                <w:sz w:val="28"/>
                <w:szCs w:val="28"/>
                <w:lang w:bidi="ar"/>
              </w:rPr>
              <w:t>（1）中华外译特色建设。</w:t>
            </w:r>
            <w:r>
              <w:rPr>
                <w:rFonts w:hint="eastAsia" w:ascii="仿宋_GB2312" w:hAnsi="仿宋_GB2312" w:eastAsia="仿宋_GB2312" w:cs="仿宋_GB2312"/>
                <w:color w:val="000000"/>
                <w:kern w:val="0"/>
                <w:sz w:val="28"/>
                <w:szCs w:val="28"/>
                <w:lang w:bidi="ar"/>
              </w:rPr>
              <w:t>中国典籍是中华民族优秀文化的主要传承方式和重要载体，翻译质量与对外传播效果决定着中国文化在国际社会的影响力。翻译专业硕士学位点培育建设，以国家社科基金中华学术外译“中国文学叙事传统研究”项目、《英韵三字经》翻译、“翻译硕士校外导师立体管理模式”及上海市教委“翻译硕士专业学位实践基地建设”项目为基础，以中华典籍翻译为引领，发挥多语种传播文化的优势，大力发展中华典籍对外翻译事业，积极参与中华文化典籍的外译工作，为弘扬中华文化、促进世界多元文化交流做出自己的贡献。把中国特色、中国风格、中国气派的中国典籍翻译出来，推向世界，以此展示真实、立体、全面的中国，着重打造一支“德才兼备”高素质、多语种的“中华外译”师资队伍。</w:t>
            </w:r>
          </w:p>
          <w:p>
            <w:pPr>
              <w:spacing w:line="400" w:lineRule="exact"/>
              <w:ind w:firstLine="562" w:firstLineChars="200"/>
              <w:rPr>
                <w:color w:val="000000"/>
                <w:sz w:val="28"/>
                <w:szCs w:val="28"/>
              </w:rPr>
            </w:pPr>
            <w:r>
              <w:rPr>
                <w:rFonts w:hint="eastAsia" w:ascii="仿宋_GB2312" w:hAnsi="仿宋_GB2312" w:eastAsia="仿宋_GB2312" w:cs="仿宋_GB2312"/>
                <w:b/>
                <w:bCs/>
                <w:color w:val="000000"/>
                <w:kern w:val="0"/>
                <w:sz w:val="28"/>
                <w:szCs w:val="28"/>
                <w:lang w:val="en-US" w:eastAsia="zh-CN" w:bidi="ar"/>
              </w:rPr>
              <w:t>（2）旅游翻译特色建设。</w:t>
            </w:r>
            <w:r>
              <w:rPr>
                <w:rFonts w:hint="eastAsia" w:ascii="仿宋_GB2312" w:hAnsi="仿宋_GB2312" w:eastAsia="仿宋_GB2312" w:cs="仿宋_GB2312"/>
                <w:color w:val="000000"/>
                <w:kern w:val="0"/>
                <w:sz w:val="28"/>
                <w:szCs w:val="28"/>
                <w:lang w:val="en-US" w:eastAsia="zh-CN" w:bidi="ar"/>
              </w:rPr>
              <w:t>翻译专业硕士学位点培育建设，以服务国家发展战略、服务“一带一路”沿线国家发展需要、服务长三角地区及上海经济发展需求，以国家级精品课程《模拟导游》、教育部精品课程《领队英语》、教育部优秀教学成果二等奖“出境旅游领队（陪同翻译）”开发与建设项目、“傅雷翻译计划”项目以及全国外语类民办高校 “三进”试点单位为建设基础，弘扬上海红色旅游文化、海派文化、传播《习近平谈治国理政》思想、宣传海派文化，传承“傅雷精神”为目标，向外国人宣传中国共产党的中国形象，讲好中国故事，聚焦翻译实践和国际传播，重点培育旅游翻译成果，拓展新业态下的旅游翻译项目，创建上外贤达学院“旅游翻译”特色品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4" w:hRule="atLeast"/>
          <w:jc w:val="center"/>
        </w:trPr>
        <w:tc>
          <w:tcPr>
            <w:tcW w:w="8711" w:type="dxa"/>
            <w:noWrap w:val="0"/>
            <w:vAlign w:val="top"/>
          </w:tcPr>
          <w:p>
            <w:pPr>
              <w:widowControl/>
              <w:jc w:val="left"/>
              <w:rPr>
                <w:rFonts w:ascii="仿宋_GB2312" w:hAnsi="仿宋_GB2312" w:eastAsia="仿宋_GB2312" w:cs="仿宋_GB2312"/>
                <w:color w:val="000000"/>
                <w:kern w:val="0"/>
                <w:sz w:val="28"/>
                <w:szCs w:val="28"/>
                <w:lang w:bidi="ar"/>
              </w:rPr>
            </w:pPr>
            <w:r>
              <w:rPr>
                <w:rFonts w:hint="eastAsia" w:ascii="仿宋_GB2312" w:hAnsi="仿宋_GB2312" w:eastAsia="仿宋_GB2312" w:cs="仿宋_GB2312"/>
                <w:b/>
                <w:bCs/>
                <w:color w:val="000000"/>
                <w:kern w:val="0"/>
                <w:sz w:val="28"/>
                <w:szCs w:val="28"/>
                <w:lang w:bidi="ar"/>
              </w:rPr>
              <w:t>任务2：师资队伍建设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86" w:hRule="atLeast"/>
          <w:jc w:val="center"/>
        </w:trPr>
        <w:tc>
          <w:tcPr>
            <w:tcW w:w="8711" w:type="dxa"/>
            <w:noWrap w:val="0"/>
            <w:vAlign w:val="top"/>
          </w:tcPr>
          <w:p>
            <w:pPr>
              <w:spacing w:line="400" w:lineRule="exact"/>
              <w:rPr>
                <w:rFonts w:hint="eastAsia" w:ascii="仿宋_GB2312" w:hAnsi="仿宋_GB2312" w:eastAsia="仿宋_GB2312" w:cs="仿宋_GB2312"/>
                <w:b/>
                <w:bCs/>
                <w:color w:val="000000"/>
                <w:kern w:val="0"/>
                <w:sz w:val="28"/>
                <w:szCs w:val="28"/>
                <w:lang w:bidi="ar"/>
              </w:rPr>
            </w:pPr>
            <w:r>
              <w:rPr>
                <w:rFonts w:hint="eastAsia" w:ascii="仿宋_GB2312" w:hAnsi="仿宋_GB2312" w:eastAsia="仿宋_GB2312" w:cs="仿宋_GB2312"/>
                <w:b/>
                <w:bCs/>
                <w:color w:val="000000"/>
                <w:kern w:val="0"/>
                <w:sz w:val="28"/>
                <w:szCs w:val="28"/>
                <w:lang w:bidi="ar"/>
              </w:rPr>
              <w:t>具体举措：</w:t>
            </w:r>
          </w:p>
          <w:p>
            <w:pPr>
              <w:spacing w:line="400" w:lineRule="exact"/>
              <w:ind w:firstLine="562" w:firstLineChars="200"/>
              <w:textAlignment w:val="baseline"/>
              <w:rPr>
                <w:rStyle w:val="18"/>
                <w:rFonts w:ascii="仿宋_GB2312" w:hAnsi="仿宋_GB2312" w:eastAsia="仿宋_GB2312"/>
                <w:kern w:val="0"/>
                <w:sz w:val="28"/>
                <w:szCs w:val="28"/>
              </w:rPr>
            </w:pPr>
            <w:r>
              <w:rPr>
                <w:rStyle w:val="18"/>
                <w:rFonts w:hint="eastAsia" w:ascii="仿宋_GB2312" w:hAnsi="仿宋_GB2312" w:eastAsia="仿宋_GB2312"/>
                <w:b/>
                <w:bCs/>
                <w:kern w:val="0"/>
                <w:sz w:val="28"/>
                <w:szCs w:val="28"/>
              </w:rPr>
              <w:t xml:space="preserve"> 通过“外引内培”及“校企合作”，</w:t>
            </w:r>
            <w:r>
              <w:rPr>
                <w:rStyle w:val="18"/>
                <w:rFonts w:ascii="仿宋_GB2312" w:hAnsi="仿宋_GB2312" w:eastAsia="仿宋_GB2312"/>
                <w:kern w:val="0"/>
                <w:sz w:val="28"/>
                <w:szCs w:val="28"/>
              </w:rPr>
              <w:t>建立一支相对稳定的</w:t>
            </w:r>
            <w:r>
              <w:rPr>
                <w:rStyle w:val="18"/>
                <w:rFonts w:hint="eastAsia" w:ascii="仿宋_GB2312" w:hAnsi="仿宋_GB2312" w:eastAsia="仿宋_GB2312"/>
                <w:kern w:val="0"/>
                <w:sz w:val="28"/>
                <w:szCs w:val="28"/>
              </w:rPr>
              <w:t>高水平的“双师型”</w:t>
            </w:r>
            <w:r>
              <w:rPr>
                <w:rStyle w:val="18"/>
                <w:rFonts w:ascii="仿宋_GB2312" w:hAnsi="仿宋_GB2312" w:eastAsia="仿宋_GB2312"/>
                <w:kern w:val="0"/>
                <w:sz w:val="28"/>
                <w:szCs w:val="28"/>
              </w:rPr>
              <w:t>师资队伍，</w:t>
            </w:r>
            <w:r>
              <w:rPr>
                <w:rStyle w:val="18"/>
                <w:rFonts w:hint="eastAsia" w:ascii="仿宋_GB2312" w:hAnsi="仿宋_GB2312" w:eastAsia="仿宋_GB2312"/>
                <w:kern w:val="0"/>
                <w:sz w:val="28"/>
                <w:szCs w:val="28"/>
              </w:rPr>
              <w:t>主要</w:t>
            </w:r>
            <w:r>
              <w:rPr>
                <w:rStyle w:val="18"/>
                <w:rFonts w:ascii="仿宋_GB2312" w:hAnsi="仿宋_GB2312" w:eastAsia="仿宋_GB2312"/>
                <w:kern w:val="0"/>
                <w:sz w:val="28"/>
                <w:szCs w:val="28"/>
              </w:rPr>
              <w:t>按照以下举措</w:t>
            </w:r>
            <w:r>
              <w:rPr>
                <w:rStyle w:val="18"/>
                <w:rFonts w:hint="eastAsia" w:ascii="仿宋_GB2312" w:hAnsi="仿宋_GB2312" w:eastAsia="仿宋_GB2312"/>
                <w:kern w:val="0"/>
                <w:sz w:val="28"/>
                <w:szCs w:val="28"/>
              </w:rPr>
              <w:t>推进</w:t>
            </w:r>
            <w:r>
              <w:rPr>
                <w:rStyle w:val="18"/>
                <w:rFonts w:ascii="仿宋_GB2312" w:hAnsi="仿宋_GB2312" w:eastAsia="仿宋_GB2312"/>
                <w:kern w:val="0"/>
                <w:sz w:val="28"/>
                <w:szCs w:val="28"/>
              </w:rPr>
              <w:t>师资队伍的建设：</w:t>
            </w:r>
          </w:p>
          <w:p>
            <w:pPr>
              <w:spacing w:line="400" w:lineRule="exact"/>
              <w:ind w:firstLine="562" w:firstLineChars="200"/>
              <w:textAlignment w:val="baseline"/>
              <w:rPr>
                <w:rStyle w:val="18"/>
                <w:rFonts w:ascii="仿宋_GB2312" w:hAnsi="仿宋_GB2312" w:eastAsia="仿宋_GB2312"/>
                <w:kern w:val="0"/>
                <w:sz w:val="28"/>
                <w:szCs w:val="28"/>
              </w:rPr>
            </w:pPr>
            <w:r>
              <w:rPr>
                <w:rStyle w:val="18"/>
                <w:rFonts w:hint="eastAsia" w:ascii="仿宋_GB2312" w:hAnsi="仿宋_GB2312" w:eastAsia="仿宋_GB2312"/>
                <w:b/>
                <w:bCs/>
                <w:kern w:val="0"/>
                <w:sz w:val="28"/>
                <w:szCs w:val="28"/>
              </w:rPr>
              <w:t>（1）“</w:t>
            </w:r>
            <w:r>
              <w:rPr>
                <w:rStyle w:val="18"/>
                <w:rFonts w:ascii="仿宋_GB2312" w:hAnsi="仿宋_GB2312" w:eastAsia="仿宋_GB2312"/>
                <w:b/>
                <w:bCs/>
                <w:kern w:val="0"/>
                <w:sz w:val="28"/>
                <w:szCs w:val="28"/>
              </w:rPr>
              <w:t>派出培训</w:t>
            </w:r>
            <w:r>
              <w:rPr>
                <w:rStyle w:val="18"/>
                <w:rFonts w:hint="eastAsia" w:ascii="仿宋_GB2312" w:hAnsi="仿宋_GB2312" w:eastAsia="仿宋_GB2312"/>
                <w:b/>
                <w:bCs/>
                <w:kern w:val="0"/>
                <w:sz w:val="28"/>
                <w:szCs w:val="28"/>
              </w:rPr>
              <w:t>”。</w:t>
            </w:r>
            <w:r>
              <w:rPr>
                <w:rStyle w:val="18"/>
                <w:rFonts w:ascii="仿宋_GB2312" w:hAnsi="仿宋_GB2312" w:eastAsia="仿宋_GB2312"/>
                <w:kern w:val="0"/>
                <w:sz w:val="28"/>
                <w:szCs w:val="28"/>
              </w:rPr>
              <w:t>分批</w:t>
            </w:r>
            <w:r>
              <w:rPr>
                <w:rStyle w:val="18"/>
                <w:rFonts w:hint="eastAsia" w:ascii="仿宋_GB2312" w:hAnsi="仿宋_GB2312" w:eastAsia="仿宋_GB2312"/>
                <w:kern w:val="0"/>
                <w:sz w:val="28"/>
                <w:szCs w:val="28"/>
              </w:rPr>
              <w:t>、分类</w:t>
            </w:r>
            <w:r>
              <w:rPr>
                <w:rStyle w:val="18"/>
                <w:rFonts w:ascii="仿宋_GB2312" w:hAnsi="仿宋_GB2312" w:eastAsia="仿宋_GB2312"/>
                <w:kern w:val="0"/>
                <w:sz w:val="28"/>
                <w:szCs w:val="28"/>
              </w:rPr>
              <w:t>派出教师参加由全国翻译专业学位研究生教育指导委员会</w:t>
            </w:r>
            <w:r>
              <w:rPr>
                <w:rStyle w:val="18"/>
                <w:rFonts w:hint="eastAsia" w:ascii="仿宋_GB2312" w:hAnsi="仿宋_GB2312" w:eastAsia="仿宋_GB2312"/>
                <w:kern w:val="0"/>
                <w:sz w:val="28"/>
                <w:szCs w:val="28"/>
              </w:rPr>
              <w:t>及</w:t>
            </w:r>
            <w:r>
              <w:rPr>
                <w:rStyle w:val="18"/>
                <w:rFonts w:ascii="仿宋_GB2312" w:hAnsi="仿宋_GB2312" w:eastAsia="仿宋_GB2312"/>
                <w:kern w:val="0"/>
                <w:sz w:val="28"/>
                <w:szCs w:val="28"/>
              </w:rPr>
              <w:t>国内外其他翻译专业学术或行业机构组织的师资培训，</w:t>
            </w:r>
            <w:r>
              <w:rPr>
                <w:rStyle w:val="18"/>
                <w:rFonts w:hint="eastAsia" w:ascii="仿宋_GB2312" w:hAnsi="仿宋_GB2312" w:eastAsia="仿宋_GB2312"/>
                <w:kern w:val="0"/>
                <w:sz w:val="28"/>
                <w:szCs w:val="28"/>
              </w:rPr>
              <w:t>考取职业资格</w:t>
            </w:r>
            <w:r>
              <w:rPr>
                <w:rStyle w:val="18"/>
                <w:rFonts w:ascii="仿宋_GB2312" w:hAnsi="仿宋_GB2312" w:eastAsia="仿宋_GB2312"/>
                <w:kern w:val="0"/>
                <w:sz w:val="28"/>
                <w:szCs w:val="28"/>
              </w:rPr>
              <w:t>证书。</w:t>
            </w:r>
            <w:r>
              <w:rPr>
                <w:rStyle w:val="18"/>
                <w:rFonts w:hint="eastAsia" w:ascii="仿宋_GB2312" w:hAnsi="仿宋_GB2312" w:eastAsia="仿宋_GB2312"/>
                <w:kern w:val="0"/>
                <w:sz w:val="28"/>
                <w:szCs w:val="28"/>
              </w:rPr>
              <w:t>有计划、分批、分类培养中华外译师资团队及旅游翻译师资团队，</w:t>
            </w:r>
            <w:r>
              <w:rPr>
                <w:rStyle w:val="18"/>
                <w:rFonts w:ascii="仿宋_GB2312" w:hAnsi="仿宋_GB2312" w:eastAsia="仿宋_GB2312"/>
                <w:kern w:val="0"/>
                <w:sz w:val="28"/>
                <w:szCs w:val="28"/>
              </w:rPr>
              <w:t>以</w:t>
            </w:r>
            <w:r>
              <w:rPr>
                <w:rStyle w:val="18"/>
                <w:rFonts w:hint="eastAsia" w:ascii="仿宋_GB2312" w:hAnsi="仿宋_GB2312" w:eastAsia="仿宋_GB2312"/>
                <w:kern w:val="0"/>
                <w:sz w:val="28"/>
                <w:szCs w:val="28"/>
              </w:rPr>
              <w:t>适应翻译专业硕士点导师的需要。</w:t>
            </w:r>
          </w:p>
          <w:p>
            <w:pPr>
              <w:spacing w:line="400" w:lineRule="exact"/>
              <w:ind w:firstLine="562" w:firstLineChars="200"/>
              <w:rPr>
                <w:rStyle w:val="18"/>
                <w:rFonts w:ascii="仿宋_GB2312" w:hAnsi="仿宋_GB2312" w:eastAsia="仿宋_GB2312"/>
                <w:kern w:val="0"/>
                <w:sz w:val="28"/>
                <w:szCs w:val="28"/>
              </w:rPr>
            </w:pPr>
            <w:r>
              <w:rPr>
                <w:rStyle w:val="18"/>
                <w:rFonts w:hint="eastAsia" w:ascii="仿宋_GB2312" w:hAnsi="仿宋_GB2312" w:eastAsia="仿宋_GB2312"/>
                <w:b/>
                <w:bCs/>
                <w:kern w:val="0"/>
                <w:sz w:val="28"/>
                <w:szCs w:val="28"/>
              </w:rPr>
              <w:t>（</w:t>
            </w:r>
            <w:r>
              <w:rPr>
                <w:rStyle w:val="18"/>
                <w:rFonts w:ascii="仿宋_GB2312" w:hAnsi="仿宋_GB2312" w:eastAsia="仿宋_GB2312"/>
                <w:b/>
                <w:bCs/>
                <w:kern w:val="0"/>
                <w:sz w:val="28"/>
                <w:szCs w:val="28"/>
              </w:rPr>
              <w:t>2</w:t>
            </w:r>
            <w:r>
              <w:rPr>
                <w:rStyle w:val="18"/>
                <w:rFonts w:hint="eastAsia" w:ascii="仿宋_GB2312" w:hAnsi="仿宋_GB2312" w:eastAsia="仿宋_GB2312"/>
                <w:b/>
                <w:bCs/>
                <w:kern w:val="0"/>
                <w:sz w:val="28"/>
                <w:szCs w:val="28"/>
              </w:rPr>
              <w:t>）“</w:t>
            </w:r>
            <w:r>
              <w:rPr>
                <w:rStyle w:val="18"/>
                <w:rFonts w:ascii="仿宋_GB2312" w:hAnsi="仿宋_GB2312" w:eastAsia="仿宋_GB2312"/>
                <w:b/>
                <w:bCs/>
                <w:kern w:val="0"/>
                <w:sz w:val="28"/>
                <w:szCs w:val="28"/>
              </w:rPr>
              <w:t>引进师资</w:t>
            </w:r>
            <w:r>
              <w:rPr>
                <w:rStyle w:val="18"/>
                <w:rFonts w:hint="eastAsia" w:ascii="仿宋_GB2312" w:hAnsi="仿宋_GB2312" w:eastAsia="仿宋_GB2312"/>
                <w:b/>
                <w:bCs/>
                <w:kern w:val="0"/>
                <w:sz w:val="28"/>
                <w:szCs w:val="28"/>
              </w:rPr>
              <w:t>”。</w:t>
            </w:r>
            <w:r>
              <w:rPr>
                <w:rStyle w:val="18"/>
                <w:rFonts w:ascii="仿宋_GB2312" w:hAnsi="仿宋_GB2312" w:eastAsia="仿宋_GB2312"/>
                <w:kern w:val="0"/>
                <w:sz w:val="28"/>
                <w:szCs w:val="28"/>
              </w:rPr>
              <w:t>根据</w:t>
            </w:r>
            <w:r>
              <w:rPr>
                <w:rStyle w:val="18"/>
                <w:rFonts w:hint="eastAsia" w:ascii="仿宋_GB2312" w:hAnsi="仿宋_GB2312" w:eastAsia="仿宋_GB2312"/>
                <w:kern w:val="0"/>
                <w:sz w:val="28"/>
                <w:szCs w:val="28"/>
              </w:rPr>
              <w:t>翻译专业硕士导师需求及</w:t>
            </w:r>
            <w:r>
              <w:rPr>
                <w:rStyle w:val="18"/>
                <w:rFonts w:ascii="仿宋_GB2312" w:hAnsi="仿宋_GB2312" w:eastAsia="仿宋_GB2312"/>
                <w:kern w:val="0"/>
                <w:sz w:val="28"/>
                <w:szCs w:val="28"/>
              </w:rPr>
              <w:t>特色，进一步</w:t>
            </w:r>
            <w:r>
              <w:rPr>
                <w:rStyle w:val="18"/>
                <w:rFonts w:hint="eastAsia" w:ascii="仿宋_GB2312" w:hAnsi="仿宋_GB2312" w:eastAsia="仿宋_GB2312"/>
                <w:kern w:val="0"/>
                <w:sz w:val="28"/>
                <w:szCs w:val="28"/>
              </w:rPr>
              <w:t>加大高层次人才的引进力度，增加</w:t>
            </w:r>
            <w:r>
              <w:rPr>
                <w:rFonts w:hint="eastAsia" w:ascii="仿宋_GB2312" w:hAnsi="仿宋_GB2312" w:eastAsia="仿宋_GB2312" w:cs="仿宋_GB2312"/>
                <w:kern w:val="0"/>
                <w:sz w:val="28"/>
                <w:szCs w:val="28"/>
                <w:lang w:bidi="ar"/>
              </w:rPr>
              <w:t>高层次领军人才的数量</w:t>
            </w:r>
            <w:r>
              <w:rPr>
                <w:rStyle w:val="18"/>
                <w:rFonts w:hint="eastAsia" w:ascii="仿宋_GB2312" w:hAnsi="仿宋_GB2312" w:eastAsia="仿宋_GB2312"/>
                <w:kern w:val="0"/>
                <w:sz w:val="28"/>
                <w:szCs w:val="28"/>
              </w:rPr>
              <w:t>。</w:t>
            </w:r>
            <w:r>
              <w:rPr>
                <w:rStyle w:val="18"/>
                <w:rFonts w:ascii="仿宋_GB2312" w:hAnsi="仿宋_GB2312" w:eastAsia="仿宋_GB2312"/>
                <w:kern w:val="0"/>
                <w:sz w:val="28"/>
                <w:szCs w:val="28"/>
              </w:rPr>
              <w:t>同时，学科建设资金</w:t>
            </w:r>
            <w:r>
              <w:rPr>
                <w:rStyle w:val="18"/>
                <w:rFonts w:hint="eastAsia" w:ascii="仿宋_GB2312" w:hAnsi="仿宋_GB2312" w:eastAsia="仿宋_GB2312"/>
                <w:kern w:val="0"/>
                <w:sz w:val="28"/>
                <w:szCs w:val="28"/>
              </w:rPr>
              <w:t>向翻译专业硕士方向</w:t>
            </w:r>
            <w:r>
              <w:rPr>
                <w:rStyle w:val="18"/>
                <w:rFonts w:ascii="仿宋_GB2312" w:hAnsi="仿宋_GB2312" w:eastAsia="仿宋_GB2312"/>
                <w:kern w:val="0"/>
                <w:sz w:val="28"/>
                <w:szCs w:val="28"/>
              </w:rPr>
              <w:t>倾斜，</w:t>
            </w:r>
            <w:r>
              <w:rPr>
                <w:rStyle w:val="18"/>
                <w:rFonts w:hint="eastAsia" w:ascii="仿宋_GB2312" w:hAnsi="仿宋_GB2312" w:eastAsia="仿宋_GB2312"/>
                <w:kern w:val="0"/>
                <w:sz w:val="28"/>
                <w:szCs w:val="28"/>
              </w:rPr>
              <w:t>扩大</w:t>
            </w:r>
            <w:r>
              <w:rPr>
                <w:rStyle w:val="18"/>
                <w:rFonts w:ascii="仿宋_GB2312" w:hAnsi="仿宋_GB2312" w:eastAsia="仿宋_GB2312"/>
                <w:kern w:val="0"/>
                <w:sz w:val="28"/>
                <w:szCs w:val="28"/>
              </w:rPr>
              <w:t>翻译教学和</w:t>
            </w:r>
            <w:r>
              <w:rPr>
                <w:rStyle w:val="18"/>
                <w:rFonts w:hint="eastAsia" w:ascii="仿宋_GB2312" w:hAnsi="仿宋_GB2312" w:eastAsia="仿宋_GB2312"/>
                <w:kern w:val="0"/>
                <w:sz w:val="28"/>
                <w:szCs w:val="28"/>
              </w:rPr>
              <w:t>科研</w:t>
            </w:r>
            <w:r>
              <w:rPr>
                <w:rStyle w:val="18"/>
                <w:rFonts w:ascii="仿宋_GB2312" w:hAnsi="仿宋_GB2312" w:eastAsia="仿宋_GB2312"/>
                <w:kern w:val="0"/>
                <w:sz w:val="28"/>
                <w:szCs w:val="28"/>
              </w:rPr>
              <w:t>课题</w:t>
            </w:r>
            <w:r>
              <w:rPr>
                <w:rStyle w:val="18"/>
                <w:rFonts w:hint="eastAsia" w:ascii="仿宋_GB2312" w:hAnsi="仿宋_GB2312" w:eastAsia="仿宋_GB2312"/>
                <w:kern w:val="0"/>
                <w:sz w:val="28"/>
                <w:szCs w:val="28"/>
              </w:rPr>
              <w:t>规模，增加立项数量，努力</w:t>
            </w:r>
            <w:r>
              <w:rPr>
                <w:rStyle w:val="18"/>
                <w:rFonts w:ascii="仿宋_GB2312" w:hAnsi="仿宋_GB2312" w:eastAsia="仿宋_GB2312"/>
                <w:kern w:val="0"/>
                <w:sz w:val="28"/>
                <w:szCs w:val="28"/>
              </w:rPr>
              <w:t>提高</w:t>
            </w:r>
            <w:r>
              <w:rPr>
                <w:rStyle w:val="18"/>
                <w:rFonts w:hint="eastAsia" w:ascii="仿宋_GB2312" w:hAnsi="仿宋_GB2312" w:eastAsia="仿宋_GB2312"/>
                <w:kern w:val="0"/>
                <w:sz w:val="28"/>
                <w:szCs w:val="28"/>
              </w:rPr>
              <w:t>专职专任教师</w:t>
            </w:r>
            <w:r>
              <w:rPr>
                <w:rStyle w:val="18"/>
                <w:rFonts w:ascii="仿宋_GB2312" w:hAnsi="仿宋_GB2312" w:eastAsia="仿宋_GB2312"/>
                <w:kern w:val="0"/>
                <w:sz w:val="28"/>
                <w:szCs w:val="28"/>
              </w:rPr>
              <w:t>的</w:t>
            </w:r>
            <w:r>
              <w:rPr>
                <w:rStyle w:val="18"/>
                <w:rFonts w:hint="eastAsia" w:ascii="仿宋_GB2312" w:hAnsi="仿宋_GB2312" w:eastAsia="仿宋_GB2312"/>
                <w:kern w:val="0"/>
                <w:sz w:val="28"/>
                <w:szCs w:val="28"/>
              </w:rPr>
              <w:t>教学</w:t>
            </w:r>
            <w:r>
              <w:rPr>
                <w:rStyle w:val="18"/>
                <w:rFonts w:ascii="仿宋_GB2312" w:hAnsi="仿宋_GB2312" w:eastAsia="仿宋_GB2312"/>
                <w:kern w:val="0"/>
                <w:sz w:val="28"/>
                <w:szCs w:val="28"/>
              </w:rPr>
              <w:t>能力和</w:t>
            </w:r>
            <w:r>
              <w:rPr>
                <w:rStyle w:val="18"/>
                <w:rFonts w:hint="eastAsia" w:ascii="仿宋_GB2312" w:hAnsi="仿宋_GB2312" w:eastAsia="仿宋_GB2312"/>
                <w:kern w:val="0"/>
                <w:sz w:val="28"/>
                <w:szCs w:val="28"/>
              </w:rPr>
              <w:t>科研水平。</w:t>
            </w:r>
          </w:p>
          <w:p>
            <w:pPr>
              <w:spacing w:line="400" w:lineRule="exact"/>
              <w:ind w:firstLine="562" w:firstLineChars="200"/>
              <w:rPr>
                <w:rStyle w:val="18"/>
                <w:rFonts w:ascii="仿宋_GB2312" w:hAnsi="仿宋_GB2312" w:eastAsia="仿宋_GB2312"/>
                <w:kern w:val="0"/>
                <w:sz w:val="28"/>
                <w:szCs w:val="28"/>
              </w:rPr>
            </w:pPr>
            <w:r>
              <w:rPr>
                <w:rStyle w:val="18"/>
                <w:rFonts w:hint="eastAsia" w:ascii="仿宋_GB2312" w:hAnsi="仿宋_GB2312" w:eastAsia="仿宋_GB2312"/>
                <w:b/>
                <w:bCs/>
                <w:kern w:val="0"/>
                <w:sz w:val="28"/>
                <w:szCs w:val="28"/>
              </w:rPr>
              <w:t>（3） “产教融合、校企合作”。</w:t>
            </w:r>
            <w:r>
              <w:rPr>
                <w:rStyle w:val="18"/>
                <w:rFonts w:ascii="仿宋_GB2312" w:hAnsi="仿宋_GB2312" w:eastAsia="仿宋_GB2312"/>
                <w:kern w:val="0"/>
                <w:sz w:val="28"/>
                <w:szCs w:val="28"/>
              </w:rPr>
              <w:t>着力打造</w:t>
            </w:r>
            <w:r>
              <w:rPr>
                <w:rStyle w:val="18"/>
                <w:rFonts w:hint="eastAsia" w:ascii="仿宋_GB2312" w:hAnsi="仿宋_GB2312" w:eastAsia="仿宋_GB2312"/>
                <w:kern w:val="0"/>
                <w:sz w:val="28"/>
                <w:szCs w:val="28"/>
              </w:rPr>
              <w:t>一支高素质的师资队伍，建设一支素质优良、结构合理、专兼结合、特色鲜明，相对稳定的“双师型”教师队伍是翻译专业硕士点导师培育项目的当务之急。发挥实习实训基地作用，定期派中青年骨干教师到翻译公司挂职锻炼，掌握翻译机构最新的操作技能，回馈于翻译课堂。</w:t>
            </w:r>
          </w:p>
          <w:p>
            <w:pPr>
              <w:spacing w:line="400" w:lineRule="exact"/>
              <w:rPr>
                <w:rFonts w:hint="eastAsia" w:ascii="仿宋_GB2312" w:hAnsi="仿宋_GB2312" w:eastAsia="仿宋_GB2312" w:cs="仿宋_GB2312"/>
                <w:color w:val="000000"/>
                <w:kern w:val="0"/>
                <w:sz w:val="28"/>
                <w:szCs w:val="28"/>
                <w:lang w:bidi="ar"/>
              </w:rPr>
            </w:pPr>
            <w:r>
              <w:rPr>
                <w:rFonts w:hint="eastAsia" w:ascii="Times New Roman" w:hAnsi="Times New Roman" w:eastAsia="宋体" w:cs="Times New Roman"/>
                <w:sz w:val="28"/>
                <w:szCs w:val="28"/>
              </w:rPr>
              <w:t xml:space="preserve"> </w:t>
            </w:r>
            <w:r>
              <w:rPr>
                <w:rFonts w:ascii="Times New Roman" w:hAnsi="Times New Roman" w:eastAsia="宋体" w:cs="Times New Roman"/>
                <w:sz w:val="28"/>
                <w:szCs w:val="28"/>
              </w:rPr>
              <w:t xml:space="preserve">  </w:t>
            </w:r>
            <w:r>
              <w:rPr>
                <w:rStyle w:val="18"/>
                <w:rFonts w:ascii="仿宋_GB2312" w:hAnsi="仿宋_GB2312" w:eastAsia="仿宋_GB2312"/>
                <w:kern w:val="0"/>
                <w:sz w:val="28"/>
                <w:szCs w:val="28"/>
              </w:rPr>
              <w:t xml:space="preserve"> </w:t>
            </w:r>
            <w:r>
              <w:rPr>
                <w:rStyle w:val="18"/>
                <w:rFonts w:ascii="仿宋_GB2312" w:hAnsi="仿宋_GB2312" w:eastAsia="仿宋_GB2312"/>
                <w:b/>
                <w:bCs/>
                <w:kern w:val="0"/>
                <w:sz w:val="28"/>
                <w:szCs w:val="28"/>
              </w:rPr>
              <w:t>（</w:t>
            </w:r>
            <w:r>
              <w:rPr>
                <w:rStyle w:val="18"/>
                <w:rFonts w:hint="eastAsia" w:ascii="仿宋_GB2312" w:hAnsi="仿宋_GB2312" w:eastAsia="仿宋_GB2312"/>
                <w:b/>
                <w:bCs/>
                <w:kern w:val="0"/>
                <w:sz w:val="28"/>
                <w:szCs w:val="28"/>
              </w:rPr>
              <w:t>4</w:t>
            </w:r>
            <w:r>
              <w:rPr>
                <w:rStyle w:val="18"/>
                <w:rFonts w:ascii="仿宋_GB2312" w:hAnsi="仿宋_GB2312" w:eastAsia="仿宋_GB2312"/>
                <w:b/>
                <w:bCs/>
                <w:kern w:val="0"/>
                <w:sz w:val="28"/>
                <w:szCs w:val="28"/>
              </w:rPr>
              <w:t>）</w:t>
            </w:r>
            <w:r>
              <w:rPr>
                <w:rStyle w:val="18"/>
                <w:rFonts w:hint="eastAsia" w:ascii="仿宋_GB2312" w:hAnsi="仿宋_GB2312" w:eastAsia="仿宋_GB2312"/>
                <w:b/>
                <w:bCs/>
                <w:kern w:val="0"/>
                <w:sz w:val="28"/>
                <w:szCs w:val="28"/>
              </w:rPr>
              <w:t>“承揽外服项目”。</w:t>
            </w:r>
            <w:r>
              <w:rPr>
                <w:rStyle w:val="18"/>
                <w:rFonts w:hint="eastAsia" w:ascii="仿宋_GB2312" w:hAnsi="仿宋_GB2312" w:eastAsia="仿宋_GB2312"/>
                <w:kern w:val="0"/>
                <w:sz w:val="28"/>
                <w:szCs w:val="28"/>
              </w:rPr>
              <w:t>通过承揽国家、企事业单位外服项目，派遣中青年教师服务国家“一带一路”项目，在完成涉外项目中培养实用型翻译师资队伍。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711" w:type="dxa"/>
            <w:noWrap w:val="0"/>
            <w:vAlign w:val="top"/>
          </w:tcPr>
          <w:p>
            <w:pPr>
              <w:widowControl/>
              <w:jc w:val="left"/>
              <w:rPr>
                <w:rFonts w:ascii="仿宋_GB2312" w:hAnsi="仿宋_GB2312" w:eastAsia="仿宋_GB2312" w:cs="仿宋_GB2312"/>
                <w:color w:val="000000"/>
                <w:kern w:val="0"/>
                <w:sz w:val="28"/>
                <w:szCs w:val="28"/>
                <w:lang w:bidi="ar"/>
              </w:rPr>
            </w:pPr>
            <w:r>
              <w:rPr>
                <w:rFonts w:hint="eastAsia" w:ascii="仿宋_GB2312" w:hAnsi="仿宋_GB2312" w:eastAsia="仿宋_GB2312" w:cs="仿宋_GB2312"/>
                <w:b/>
                <w:bCs/>
                <w:color w:val="000000"/>
                <w:kern w:val="0"/>
                <w:sz w:val="28"/>
                <w:szCs w:val="28"/>
                <w:lang w:bidi="ar"/>
              </w:rPr>
              <w:t>任务3：人才培养工作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59" w:hRule="atLeast"/>
          <w:jc w:val="center"/>
        </w:trPr>
        <w:tc>
          <w:tcPr>
            <w:tcW w:w="8711" w:type="dxa"/>
            <w:noWrap w:val="0"/>
            <w:vAlign w:val="top"/>
          </w:tcPr>
          <w:p>
            <w:pPr>
              <w:spacing w:line="400" w:lineRule="exact"/>
              <w:rPr>
                <w:rFonts w:hint="eastAsia" w:ascii="仿宋_GB2312" w:hAnsi="仿宋_GB2312" w:eastAsia="仿宋_GB2312" w:cs="仿宋_GB2312"/>
                <w:b/>
                <w:bCs/>
                <w:color w:val="000000"/>
                <w:kern w:val="0"/>
                <w:sz w:val="28"/>
                <w:szCs w:val="28"/>
                <w:lang w:bidi="ar"/>
              </w:rPr>
            </w:pPr>
            <w:r>
              <w:rPr>
                <w:rFonts w:hint="eastAsia" w:ascii="仿宋_GB2312" w:hAnsi="仿宋_GB2312" w:eastAsia="仿宋_GB2312" w:cs="仿宋_GB2312"/>
                <w:b/>
                <w:bCs/>
                <w:color w:val="000000"/>
                <w:kern w:val="0"/>
                <w:sz w:val="28"/>
                <w:szCs w:val="28"/>
                <w:lang w:bidi="ar"/>
              </w:rPr>
              <w:t>具体举措：</w:t>
            </w:r>
          </w:p>
          <w:p>
            <w:pPr>
              <w:spacing w:line="400" w:lineRule="exact"/>
              <w:ind w:firstLine="562" w:firstLineChars="200"/>
              <w:textAlignment w:val="baseline"/>
              <w:rPr>
                <w:rStyle w:val="18"/>
                <w:rFonts w:hint="eastAsia" w:ascii="仿宋_GB2312" w:hAnsi="仿宋_GB2312" w:eastAsia="仿宋_GB2312"/>
                <w:kern w:val="0"/>
                <w:sz w:val="28"/>
                <w:szCs w:val="28"/>
              </w:rPr>
            </w:pPr>
            <w:r>
              <w:rPr>
                <w:rStyle w:val="18"/>
                <w:rFonts w:hint="eastAsia" w:ascii="仿宋_GB2312" w:hAnsi="仿宋_GB2312" w:eastAsia="仿宋_GB2312"/>
                <w:b/>
                <w:bCs/>
                <w:kern w:val="0"/>
                <w:sz w:val="28"/>
                <w:szCs w:val="28"/>
              </w:rPr>
              <w:t>（1）在培养目标定位上，突出“涉外服务”特色。</w:t>
            </w:r>
            <w:r>
              <w:rPr>
                <w:rStyle w:val="18"/>
                <w:rFonts w:hint="eastAsia" w:ascii="仿宋_GB2312" w:hAnsi="仿宋_GB2312" w:eastAsia="仿宋_GB2312"/>
                <w:kern w:val="0"/>
                <w:sz w:val="28"/>
                <w:szCs w:val="28"/>
              </w:rPr>
              <w:t>以适应国家发展战略、长三角区域及上海市经济、文化发展需求为依据，把培养具有国际视野、高尚情怀和跨文化交际能力作为宗旨，人才培养定位为“了解国家及区域经济社会文化发展相关知识，能够适应国家、地方区域经济发展需要、具有创新精神和实践能力的高层次、应用复合型翻译人才”。</w:t>
            </w:r>
          </w:p>
          <w:p>
            <w:pPr>
              <w:spacing w:line="400" w:lineRule="exact"/>
              <w:ind w:firstLine="562" w:firstLineChars="200"/>
              <w:textAlignment w:val="baseline"/>
              <w:rPr>
                <w:rStyle w:val="18"/>
                <w:rFonts w:hint="eastAsia" w:ascii="仿宋_GB2312" w:hAnsi="仿宋_GB2312" w:eastAsia="仿宋_GB2312"/>
                <w:kern w:val="0"/>
                <w:sz w:val="28"/>
                <w:szCs w:val="28"/>
              </w:rPr>
            </w:pPr>
            <w:r>
              <w:rPr>
                <w:rStyle w:val="18"/>
                <w:rFonts w:hint="eastAsia" w:ascii="仿宋_GB2312" w:hAnsi="仿宋_GB2312" w:eastAsia="仿宋_GB2312"/>
                <w:b/>
                <w:bCs/>
                <w:kern w:val="0"/>
                <w:sz w:val="28"/>
                <w:szCs w:val="28"/>
              </w:rPr>
              <w:t>（2）在课程设置上，重点打造“翻译实践类课程”。</w:t>
            </w:r>
            <w:r>
              <w:rPr>
                <w:rStyle w:val="18"/>
                <w:rFonts w:hint="eastAsia" w:ascii="仿宋_GB2312" w:hAnsi="仿宋_GB2312" w:eastAsia="仿宋_GB2312"/>
                <w:kern w:val="0"/>
                <w:sz w:val="28"/>
                <w:szCs w:val="28"/>
              </w:rPr>
              <w:t xml:space="preserve">依据国家、长三角区域及上海市需求及当前翻译专业硕士研究生培养的现状，结合我校的特色及优势设置体现地方特色的课程。与人才培养基地密切合作，将职业岗位需求贯穿课程、实习、实训的始终，实现翻译专业硕士研究生培养的目标和任务。教学单位承揽中华外译项目、文化与旅游、国际会议、会展、商务谈判等翻译任务，师生共同参与翻译实践，提高翻译实践能力，把翻译实践须贯穿于教学的全过程，为提高学生的职业素质、培养学生的能力奠定良好基础。 </w:t>
            </w:r>
          </w:p>
          <w:p>
            <w:pPr>
              <w:spacing w:line="400" w:lineRule="exact"/>
              <w:ind w:firstLine="562" w:firstLineChars="200"/>
              <w:textAlignment w:val="baseline"/>
              <w:rPr>
                <w:rStyle w:val="18"/>
                <w:rFonts w:hint="eastAsia" w:ascii="仿宋_GB2312" w:hAnsi="仿宋_GB2312" w:eastAsia="仿宋_GB2312"/>
                <w:kern w:val="0"/>
                <w:sz w:val="28"/>
                <w:szCs w:val="28"/>
              </w:rPr>
            </w:pPr>
            <w:r>
              <w:rPr>
                <w:rStyle w:val="18"/>
                <w:rFonts w:hint="eastAsia" w:ascii="仿宋_GB2312" w:hAnsi="仿宋_GB2312" w:eastAsia="仿宋_GB2312"/>
                <w:b/>
                <w:bCs/>
                <w:kern w:val="0"/>
                <w:sz w:val="28"/>
                <w:szCs w:val="28"/>
              </w:rPr>
              <w:t>（3）在师资队伍建设上，凸显“中华外译”和“旅游翻译”。</w:t>
            </w:r>
            <w:r>
              <w:rPr>
                <w:rStyle w:val="18"/>
                <w:rFonts w:ascii="仿宋_GB2312" w:hAnsi="仿宋_GB2312" w:eastAsia="仿宋_GB2312"/>
                <w:kern w:val="0"/>
                <w:sz w:val="28"/>
                <w:szCs w:val="28"/>
              </w:rPr>
              <w:t>加强</w:t>
            </w:r>
            <w:r>
              <w:rPr>
                <w:rStyle w:val="18"/>
                <w:rFonts w:hint="eastAsia" w:ascii="仿宋_GB2312" w:hAnsi="仿宋_GB2312" w:eastAsia="仿宋_GB2312"/>
                <w:kern w:val="0"/>
                <w:sz w:val="28"/>
                <w:szCs w:val="28"/>
              </w:rPr>
              <w:t>中华古籍翻译及旅游翻译</w:t>
            </w:r>
            <w:r>
              <w:rPr>
                <w:rStyle w:val="18"/>
                <w:rFonts w:ascii="仿宋_GB2312" w:hAnsi="仿宋_GB2312" w:eastAsia="仿宋_GB2312"/>
                <w:kern w:val="0"/>
                <w:sz w:val="28"/>
                <w:szCs w:val="28"/>
              </w:rPr>
              <w:t>教学</w:t>
            </w:r>
            <w:r>
              <w:rPr>
                <w:rStyle w:val="18"/>
                <w:rFonts w:hint="eastAsia" w:ascii="仿宋_GB2312" w:hAnsi="仿宋_GB2312" w:eastAsia="仿宋_GB2312"/>
                <w:kern w:val="0"/>
                <w:sz w:val="28"/>
                <w:szCs w:val="28"/>
              </w:rPr>
              <w:t>，</w:t>
            </w:r>
            <w:r>
              <w:rPr>
                <w:rStyle w:val="18"/>
                <w:rFonts w:ascii="仿宋_GB2312" w:hAnsi="仿宋_GB2312" w:eastAsia="仿宋_GB2312"/>
                <w:kern w:val="0"/>
                <w:sz w:val="28"/>
                <w:szCs w:val="28"/>
              </w:rPr>
              <w:t>建设</w:t>
            </w:r>
            <w:r>
              <w:rPr>
                <w:rStyle w:val="18"/>
                <w:rFonts w:hint="eastAsia" w:ascii="仿宋_GB2312" w:hAnsi="仿宋_GB2312" w:eastAsia="仿宋_GB2312"/>
                <w:kern w:val="0"/>
                <w:sz w:val="28"/>
                <w:szCs w:val="28"/>
              </w:rPr>
              <w:t>中国古籍翻译、红色旅游翻译、</w:t>
            </w:r>
            <w:r>
              <w:rPr>
                <w:rStyle w:val="18"/>
                <w:rFonts w:ascii="仿宋_GB2312" w:hAnsi="仿宋_GB2312" w:eastAsia="仿宋_GB2312"/>
                <w:kern w:val="0"/>
                <w:sz w:val="28"/>
                <w:szCs w:val="28"/>
              </w:rPr>
              <w:t>海派文化翻译</w:t>
            </w:r>
            <w:r>
              <w:rPr>
                <w:rStyle w:val="18"/>
                <w:rFonts w:hint="eastAsia" w:ascii="仿宋_GB2312" w:hAnsi="仿宋_GB2312" w:eastAsia="仿宋_GB2312"/>
                <w:kern w:val="0"/>
                <w:sz w:val="28"/>
                <w:szCs w:val="28"/>
              </w:rPr>
              <w:t>精品</w:t>
            </w:r>
            <w:r>
              <w:rPr>
                <w:rStyle w:val="18"/>
                <w:rFonts w:ascii="仿宋_GB2312" w:hAnsi="仿宋_GB2312" w:eastAsia="仿宋_GB2312"/>
                <w:kern w:val="0"/>
                <w:sz w:val="28"/>
                <w:szCs w:val="28"/>
              </w:rPr>
              <w:t>共享课程，提学生的学习效率。鼓励相关专业的学生应积极参加全国翻译专业资格（水平）考试，引导优秀毕业生从事翻译</w:t>
            </w:r>
            <w:r>
              <w:rPr>
                <w:rStyle w:val="18"/>
                <w:rFonts w:hint="eastAsia" w:ascii="仿宋_GB2312" w:hAnsi="仿宋_GB2312" w:eastAsia="仿宋_GB2312"/>
                <w:kern w:val="0"/>
                <w:sz w:val="28"/>
                <w:szCs w:val="28"/>
              </w:rPr>
              <w:t>、</w:t>
            </w:r>
            <w:r>
              <w:rPr>
                <w:rStyle w:val="18"/>
                <w:rFonts w:ascii="仿宋_GB2312" w:hAnsi="仿宋_GB2312" w:eastAsia="仿宋_GB2312"/>
                <w:kern w:val="0"/>
                <w:sz w:val="28"/>
                <w:szCs w:val="28"/>
              </w:rPr>
              <w:t>语言服务相关领域工作。</w:t>
            </w:r>
            <w:r>
              <w:rPr>
                <w:rStyle w:val="18"/>
                <w:rFonts w:hint="eastAsia" w:ascii="仿宋_GB2312" w:hAnsi="仿宋_GB2312" w:eastAsia="仿宋_GB2312"/>
                <w:kern w:val="0"/>
                <w:sz w:val="28"/>
                <w:szCs w:val="28"/>
              </w:rPr>
              <w:t>目前上外贤达学院翻译师资团队主要是由外国语言文学、语言学、翻译学知名教授、企业资深翻译及校外兼职教师团队组成。翻译专业硕士点导师培育项目按照“中华外译”和“旅游翻译”两个方向进行导师队伍培养并达到翻译专业硕士点对导师的要求。此外，加强翻译硕士师资队伍建设，加大青年教师培养力度，采用跨学科联合培养或引进的方式建立起一支年龄结构合理、翻译实践经验丰富的高水平翻译教师队伍，来满足当前翻译硕士研究生培养的要求。</w:t>
            </w:r>
          </w:p>
          <w:p>
            <w:pPr>
              <w:spacing w:line="400" w:lineRule="exact"/>
              <w:ind w:firstLine="562" w:firstLineChars="200"/>
              <w:textAlignment w:val="baseline"/>
              <w:rPr>
                <w:rFonts w:ascii="Times New Roman" w:hAnsi="Times New Roman" w:eastAsia="仿宋_GB2312" w:cs="Times New Roman"/>
                <w:sz w:val="28"/>
                <w:szCs w:val="28"/>
              </w:rPr>
            </w:pPr>
            <w:r>
              <w:rPr>
                <w:rStyle w:val="18"/>
                <w:rFonts w:hint="eastAsia" w:ascii="仿宋_GB2312" w:hAnsi="仿宋_GB2312" w:eastAsia="仿宋_GB2312"/>
                <w:b/>
                <w:bCs/>
                <w:kern w:val="0"/>
                <w:sz w:val="28"/>
                <w:szCs w:val="28"/>
              </w:rPr>
              <w:t>（4）在教学改革上，"理论与实践并重、优化教学过程"。</w:t>
            </w:r>
            <w:r>
              <w:rPr>
                <w:rStyle w:val="18"/>
                <w:rFonts w:hint="eastAsia" w:ascii="仿宋_GB2312" w:hAnsi="仿宋_GB2312" w:eastAsia="仿宋_GB2312"/>
                <w:kern w:val="0"/>
                <w:sz w:val="28"/>
                <w:szCs w:val="28"/>
              </w:rPr>
              <w:t>深化教学改革，改革传统教学模式，采用任务驱动、项目导向的方式授课，构建"以学生为中心”的教学模式,编写特色翻译教材,优化教学过程,优化评价体系,加大“翻译实践报告”作为“毕业论文”的改革力度，实现翻译人才培养质量的有效提升。</w:t>
            </w:r>
          </w:p>
          <w:p>
            <w:pPr>
              <w:spacing w:line="400" w:lineRule="exact"/>
              <w:rPr>
                <w:rFonts w:hint="eastAsia" w:ascii="仿宋_GB2312" w:hAnsi="仿宋_GB2312" w:eastAsia="仿宋_GB2312" w:cs="仿宋_GB2312"/>
                <w:color w:val="000000"/>
                <w:kern w:val="0"/>
                <w:sz w:val="28"/>
                <w:szCs w:val="28"/>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711" w:type="dxa"/>
            <w:noWrap w:val="0"/>
            <w:vAlign w:val="top"/>
          </w:tcPr>
          <w:p>
            <w:pPr>
              <w:widowControl/>
              <w:jc w:val="left"/>
              <w:rPr>
                <w:rFonts w:hint="eastAsia" w:ascii="仿宋_GB2312" w:hAnsi="仿宋_GB2312" w:eastAsia="仿宋_GB2312" w:cs="仿宋_GB2312"/>
                <w:color w:val="000000"/>
                <w:kern w:val="0"/>
                <w:sz w:val="28"/>
                <w:szCs w:val="28"/>
                <w:lang w:bidi="ar"/>
              </w:rPr>
            </w:pPr>
            <w:r>
              <w:rPr>
                <w:rFonts w:hint="eastAsia" w:ascii="仿宋_GB2312" w:hAnsi="仿宋_GB2312" w:eastAsia="仿宋_GB2312" w:cs="仿宋_GB2312"/>
                <w:b/>
                <w:bCs/>
                <w:color w:val="000000"/>
                <w:kern w:val="0"/>
                <w:sz w:val="28"/>
                <w:szCs w:val="28"/>
                <w:lang w:bidi="ar"/>
              </w:rPr>
              <w:t>任务4：培养环境与条件建设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59" w:hRule="atLeast"/>
          <w:jc w:val="center"/>
        </w:trPr>
        <w:tc>
          <w:tcPr>
            <w:tcW w:w="8711" w:type="dxa"/>
            <w:noWrap w:val="0"/>
            <w:vAlign w:val="top"/>
          </w:tcPr>
          <w:p>
            <w:pPr>
              <w:spacing w:line="400" w:lineRule="exact"/>
              <w:rPr>
                <w:rFonts w:hint="eastAsia" w:ascii="仿宋_GB2312" w:hAnsi="仿宋_GB2312" w:eastAsia="仿宋_GB2312" w:cs="仿宋_GB2312"/>
                <w:b/>
                <w:bCs/>
                <w:color w:val="000000"/>
                <w:kern w:val="0"/>
                <w:sz w:val="28"/>
                <w:szCs w:val="28"/>
                <w:lang w:bidi="ar"/>
              </w:rPr>
            </w:pPr>
            <w:r>
              <w:rPr>
                <w:rFonts w:hint="eastAsia" w:ascii="仿宋_GB2312" w:hAnsi="仿宋_GB2312" w:eastAsia="仿宋_GB2312" w:cs="仿宋_GB2312"/>
                <w:b/>
                <w:bCs/>
                <w:color w:val="000000"/>
                <w:kern w:val="0"/>
                <w:sz w:val="28"/>
                <w:szCs w:val="28"/>
                <w:lang w:bidi="ar"/>
              </w:rPr>
              <w:t>具体举措：</w:t>
            </w:r>
          </w:p>
          <w:p>
            <w:pPr>
              <w:spacing w:line="400" w:lineRule="exact"/>
              <w:ind w:firstLine="562" w:firstLineChars="200"/>
              <w:textAlignment w:val="baseline"/>
              <w:rPr>
                <w:rStyle w:val="18"/>
                <w:rFonts w:ascii="仿宋_GB2312" w:hAnsi="仿宋_GB2312" w:eastAsia="仿宋_GB2312"/>
                <w:color w:val="000000" w:themeColor="text1"/>
                <w:kern w:val="0"/>
                <w:sz w:val="28"/>
                <w:szCs w:val="28"/>
                <w14:textFill>
                  <w14:solidFill>
                    <w14:schemeClr w14:val="tx1"/>
                  </w14:solidFill>
                </w14:textFill>
              </w:rPr>
            </w:pPr>
            <w:r>
              <w:rPr>
                <w:rStyle w:val="18"/>
                <w:rFonts w:hint="eastAsia" w:ascii="仿宋_GB2312" w:hAnsi="仿宋_GB2312" w:eastAsia="仿宋_GB2312"/>
                <w:b/>
                <w:bCs/>
                <w:color w:val="000000" w:themeColor="text1"/>
                <w:kern w:val="0"/>
                <w:sz w:val="28"/>
                <w:szCs w:val="28"/>
                <w14:textFill>
                  <w14:solidFill>
                    <w14:schemeClr w14:val="tx1"/>
                  </w14:solidFill>
                </w14:textFill>
              </w:rPr>
              <w:t>（1）加强教学基本建设。</w:t>
            </w:r>
            <w:r>
              <w:rPr>
                <w:rStyle w:val="18"/>
                <w:rFonts w:ascii="仿宋_GB2312" w:hAnsi="仿宋_GB2312" w:eastAsia="仿宋_GB2312"/>
                <w:color w:val="000000" w:themeColor="text1"/>
                <w:kern w:val="0"/>
                <w:sz w:val="28"/>
                <w:szCs w:val="28"/>
                <w14:textFill>
                  <w14:solidFill>
                    <w14:schemeClr w14:val="tx1"/>
                  </w14:solidFill>
                </w14:textFill>
              </w:rPr>
              <w:t>筹建翻译专业学位硕士教育管理中心，配备专职管理人员，包括</w:t>
            </w:r>
            <w:r>
              <w:rPr>
                <w:rStyle w:val="18"/>
                <w:rFonts w:hint="eastAsia" w:ascii="仿宋_GB2312" w:hAnsi="仿宋_GB2312" w:eastAsia="仿宋_GB2312"/>
                <w:color w:val="000000" w:themeColor="text1"/>
                <w:kern w:val="0"/>
                <w:sz w:val="28"/>
                <w:szCs w:val="28"/>
                <w14:textFill>
                  <w14:solidFill>
                    <w14:schemeClr w14:val="tx1"/>
                  </w14:solidFill>
                </w14:textFill>
              </w:rPr>
              <w:t>翻译专业硕士研究生</w:t>
            </w:r>
            <w:r>
              <w:rPr>
                <w:rStyle w:val="18"/>
                <w:rFonts w:ascii="仿宋_GB2312" w:hAnsi="仿宋_GB2312" w:eastAsia="仿宋_GB2312"/>
                <w:color w:val="000000" w:themeColor="text1"/>
                <w:kern w:val="0"/>
                <w:sz w:val="28"/>
                <w:szCs w:val="28"/>
                <w14:textFill>
                  <w14:solidFill>
                    <w14:schemeClr w14:val="tx1"/>
                  </w14:solidFill>
                </w14:textFill>
              </w:rPr>
              <w:t>中心主任和专职教学秘书，制定完善的培养流程和配套管理文件。</w:t>
            </w:r>
            <w:r>
              <w:rPr>
                <w:rStyle w:val="18"/>
                <w:rFonts w:hint="eastAsia" w:ascii="仿宋_GB2312" w:hAnsi="仿宋_GB2312" w:eastAsia="仿宋_GB2312"/>
                <w:color w:val="000000" w:themeColor="text1"/>
                <w:kern w:val="0"/>
                <w:sz w:val="28"/>
                <w:szCs w:val="28"/>
                <w14:textFill>
                  <w14:solidFill>
                    <w14:schemeClr w14:val="tx1"/>
                  </w14:solidFill>
                </w14:textFill>
              </w:rPr>
              <w:t>成立以具有指导硕士研究生资格的正、副教授为主，并吸收外事与企事业部门具有高级专业技术职称的翻译人员参加的导师组，发挥集体培养的作用。导师组应实行“双导师”制，即有学校专职专任教师，又有实际工作经验和研究水平的资深译员或编审，共同指导翻译专业的学生学习与研究。</w:t>
            </w:r>
          </w:p>
          <w:p>
            <w:pPr>
              <w:spacing w:line="400" w:lineRule="exact"/>
              <w:ind w:firstLine="562" w:firstLineChars="200"/>
              <w:textAlignment w:val="baseline"/>
              <w:rPr>
                <w:rStyle w:val="18"/>
                <w:rFonts w:hint="eastAsia" w:ascii="仿宋_GB2312" w:hAnsi="仿宋_GB2312" w:eastAsia="仿宋_GB2312"/>
                <w:color w:val="000000" w:themeColor="text1"/>
                <w:kern w:val="0"/>
                <w:sz w:val="28"/>
                <w:szCs w:val="28"/>
                <w14:textFill>
                  <w14:solidFill>
                    <w14:schemeClr w14:val="tx1"/>
                  </w14:solidFill>
                </w14:textFill>
              </w:rPr>
            </w:pPr>
            <w:r>
              <w:rPr>
                <w:rStyle w:val="18"/>
                <w:rFonts w:hint="eastAsia" w:ascii="仿宋_GB2312" w:hAnsi="仿宋_GB2312" w:eastAsia="仿宋_GB2312"/>
                <w:b/>
                <w:bCs/>
                <w:color w:val="000000" w:themeColor="text1"/>
                <w:kern w:val="0"/>
                <w:sz w:val="28"/>
                <w:szCs w:val="28"/>
                <w14:textFill>
                  <w14:solidFill>
                    <w14:schemeClr w14:val="tx1"/>
                  </w14:solidFill>
                </w14:textFill>
              </w:rPr>
              <w:t>（2）加强校内实</w:t>
            </w:r>
            <w:r>
              <w:rPr>
                <w:rStyle w:val="18"/>
                <w:rFonts w:hint="eastAsia" w:ascii="仿宋_GB2312" w:hAnsi="仿宋_GB2312" w:eastAsia="仿宋_GB2312"/>
                <w:b/>
                <w:bCs/>
                <w:color w:val="000000" w:themeColor="text1"/>
                <w:kern w:val="0"/>
                <w:sz w:val="28"/>
                <w:szCs w:val="28"/>
                <w:lang w:val="en-US" w:eastAsia="zh-CN"/>
                <w14:textFill>
                  <w14:solidFill>
                    <w14:schemeClr w14:val="tx1"/>
                  </w14:solidFill>
                </w14:textFill>
              </w:rPr>
              <w:t>验</w:t>
            </w:r>
            <w:r>
              <w:rPr>
                <w:rStyle w:val="18"/>
                <w:rFonts w:hint="eastAsia" w:ascii="仿宋_GB2312" w:hAnsi="仿宋_GB2312" w:eastAsia="仿宋_GB2312"/>
                <w:b/>
                <w:bCs/>
                <w:color w:val="000000" w:themeColor="text1"/>
                <w:kern w:val="0"/>
                <w:sz w:val="28"/>
                <w:szCs w:val="28"/>
                <w14:textFill>
                  <w14:solidFill>
                    <w14:schemeClr w14:val="tx1"/>
                  </w14:solidFill>
                </w14:textFill>
              </w:rPr>
              <w:t>室建设。</w:t>
            </w:r>
            <w:r>
              <w:rPr>
                <w:rStyle w:val="18"/>
                <w:rFonts w:hint="eastAsia" w:ascii="仿宋_GB2312" w:hAnsi="仿宋_GB2312" w:eastAsia="仿宋_GB2312"/>
                <w:color w:val="000000" w:themeColor="text1"/>
                <w:kern w:val="0"/>
                <w:sz w:val="28"/>
                <w:szCs w:val="28"/>
                <w14:textFill>
                  <w14:solidFill>
                    <w14:schemeClr w14:val="tx1"/>
                  </w14:solidFill>
                </w14:textFill>
              </w:rPr>
              <w:t>校内实训基地建设主要功能是实现课堂无法完成的能力训练。校内实训基地的建设注重真实性、高技术性和通用性，使其尽可能体现真实的职业环境，反映翻译专业市场领域的新动态、新需求，是培养实用型翻译人才的有效途径。</w:t>
            </w:r>
          </w:p>
          <w:p>
            <w:pPr>
              <w:spacing w:line="400" w:lineRule="exact"/>
              <w:textAlignment w:val="baseline"/>
              <w:rPr>
                <w:rStyle w:val="18"/>
                <w:rFonts w:ascii="仿宋_GB2312" w:hAnsi="仿宋_GB2312" w:eastAsia="仿宋_GB2312"/>
                <w:color w:val="000000"/>
                <w:kern w:val="0"/>
                <w:sz w:val="28"/>
                <w:szCs w:val="28"/>
              </w:rPr>
            </w:pPr>
            <w:r>
              <w:rPr>
                <w:rStyle w:val="18"/>
                <w:rFonts w:hint="eastAsia" w:ascii="仿宋_GB2312" w:hAnsi="仿宋_GB2312" w:eastAsia="仿宋_GB2312"/>
                <w:b/>
                <w:bCs/>
                <w:color w:val="000000" w:themeColor="text1"/>
                <w:kern w:val="0"/>
                <w:sz w:val="28"/>
                <w:szCs w:val="28"/>
                <w14:textFill>
                  <w14:solidFill>
                    <w14:schemeClr w14:val="tx1"/>
                  </w14:solidFill>
                </w14:textFill>
              </w:rPr>
              <w:t>（</w:t>
            </w:r>
            <w:r>
              <w:rPr>
                <w:rStyle w:val="18"/>
                <w:rFonts w:ascii="仿宋_GB2312" w:hAnsi="仿宋_GB2312" w:eastAsia="仿宋_GB2312"/>
                <w:b/>
                <w:bCs/>
                <w:color w:val="000000" w:themeColor="text1"/>
                <w:kern w:val="0"/>
                <w:sz w:val="28"/>
                <w:szCs w:val="28"/>
                <w14:textFill>
                  <w14:solidFill>
                    <w14:schemeClr w14:val="tx1"/>
                  </w14:solidFill>
                </w14:textFill>
              </w:rPr>
              <w:t>3</w:t>
            </w:r>
            <w:r>
              <w:rPr>
                <w:rStyle w:val="18"/>
                <w:rFonts w:hint="eastAsia" w:ascii="仿宋_GB2312" w:hAnsi="仿宋_GB2312" w:eastAsia="仿宋_GB2312"/>
                <w:b/>
                <w:bCs/>
                <w:color w:val="000000" w:themeColor="text1"/>
                <w:kern w:val="0"/>
                <w:sz w:val="28"/>
                <w:szCs w:val="28"/>
                <w14:textFill>
                  <w14:solidFill>
                    <w14:schemeClr w14:val="tx1"/>
                  </w14:solidFill>
                </w14:textFill>
              </w:rPr>
              <w:t>）加强校外实</w:t>
            </w:r>
            <w:r>
              <w:rPr>
                <w:rStyle w:val="18"/>
                <w:rFonts w:hint="eastAsia" w:ascii="仿宋_GB2312" w:hAnsi="仿宋_GB2312" w:eastAsia="仿宋_GB2312"/>
                <w:b/>
                <w:bCs/>
                <w:color w:val="000000" w:themeColor="text1"/>
                <w:kern w:val="0"/>
                <w:sz w:val="28"/>
                <w:szCs w:val="28"/>
                <w:lang w:val="en-US" w:eastAsia="zh-CN"/>
                <w14:textFill>
                  <w14:solidFill>
                    <w14:schemeClr w14:val="tx1"/>
                  </w14:solidFill>
                </w14:textFill>
              </w:rPr>
              <w:t>习</w:t>
            </w:r>
            <w:r>
              <w:rPr>
                <w:rStyle w:val="18"/>
                <w:rFonts w:hint="eastAsia" w:ascii="仿宋_GB2312" w:hAnsi="仿宋_GB2312" w:eastAsia="仿宋_GB2312"/>
                <w:b/>
                <w:bCs/>
                <w:color w:val="000000" w:themeColor="text1"/>
                <w:kern w:val="0"/>
                <w:sz w:val="28"/>
                <w:szCs w:val="28"/>
                <w14:textFill>
                  <w14:solidFill>
                    <w14:schemeClr w14:val="tx1"/>
                  </w14:solidFill>
                </w14:textFill>
              </w:rPr>
              <w:t>基地建设。</w:t>
            </w:r>
            <w:r>
              <w:rPr>
                <w:rStyle w:val="18"/>
                <w:rFonts w:hint="eastAsia" w:ascii="仿宋_GB2312" w:hAnsi="仿宋_GB2312" w:eastAsia="仿宋_GB2312"/>
                <w:color w:val="000000" w:themeColor="text1"/>
                <w:kern w:val="0"/>
                <w:sz w:val="28"/>
                <w:szCs w:val="28"/>
                <w14:textFill>
                  <w14:solidFill>
                    <w14:schemeClr w14:val="tx1"/>
                  </w14:solidFill>
                </w14:textFill>
              </w:rPr>
              <w:t>建立校外实训基地是真正实现学生“零距离”接触生产、建设、服务、管理第一线的训练场所，是对校内实训基地的有效补充。校外实训基地建设是翻译专业教学体系改革的重要内容。校外实训基地建设本着优势互补，校企“双赢”的原则进行建设，应充分发挥专业指导委员会的作用，形成“人才共育，过程共管，成果共享、效益共赢”的管理体质和运行机制。</w:t>
            </w:r>
          </w:p>
          <w:p>
            <w:pPr>
              <w:spacing w:line="400" w:lineRule="exact"/>
              <w:rPr>
                <w:rFonts w:hint="eastAsia" w:ascii="仿宋_GB2312" w:hAnsi="仿宋_GB2312" w:eastAsia="仿宋_GB2312" w:cs="仿宋_GB2312"/>
                <w:color w:val="000000"/>
                <w:kern w:val="0"/>
                <w:sz w:val="28"/>
                <w:szCs w:val="28"/>
                <w:lang w:bidi="ar"/>
              </w:rPr>
            </w:pPr>
          </w:p>
        </w:tc>
      </w:tr>
    </w:tbl>
    <w:p>
      <w:pPr>
        <w:outlineLvl w:val="0"/>
        <w:rPr>
          <w:rFonts w:hint="eastAsia"/>
          <w:b/>
          <w:color w:val="000000"/>
          <w:sz w:val="32"/>
          <w:szCs w:val="32"/>
        </w:rPr>
      </w:pPr>
    </w:p>
    <w:p>
      <w:pPr>
        <w:pStyle w:val="2"/>
        <w:rPr>
          <w:rFonts w:hint="eastAsia"/>
          <w:b/>
          <w:color w:val="000000"/>
          <w:sz w:val="32"/>
          <w:szCs w:val="32"/>
        </w:rPr>
      </w:pPr>
    </w:p>
    <w:p>
      <w:pPr>
        <w:pStyle w:val="2"/>
        <w:rPr>
          <w:rFonts w:hint="eastAsia"/>
          <w:b/>
          <w:color w:val="000000"/>
          <w:sz w:val="32"/>
          <w:szCs w:val="32"/>
        </w:rPr>
      </w:pPr>
    </w:p>
    <w:p>
      <w:pPr>
        <w:pStyle w:val="2"/>
        <w:rPr>
          <w:rFonts w:hint="eastAsia"/>
          <w:b/>
          <w:color w:val="000000"/>
          <w:sz w:val="32"/>
          <w:szCs w:val="32"/>
        </w:rPr>
      </w:pPr>
    </w:p>
    <w:p>
      <w:pPr>
        <w:pStyle w:val="2"/>
        <w:rPr>
          <w:rFonts w:hint="eastAsia"/>
          <w:b/>
          <w:color w:val="000000"/>
          <w:sz w:val="32"/>
          <w:szCs w:val="32"/>
        </w:rPr>
      </w:pPr>
    </w:p>
    <w:p>
      <w:pPr>
        <w:pStyle w:val="2"/>
        <w:rPr>
          <w:rFonts w:hint="eastAsia"/>
          <w:b/>
          <w:color w:val="000000"/>
          <w:sz w:val="32"/>
          <w:szCs w:val="32"/>
        </w:rPr>
      </w:pPr>
    </w:p>
    <w:p>
      <w:pPr>
        <w:pStyle w:val="2"/>
        <w:rPr>
          <w:rFonts w:hint="eastAsia"/>
          <w:b/>
          <w:color w:val="000000"/>
          <w:sz w:val="32"/>
          <w:szCs w:val="32"/>
        </w:rPr>
      </w:pPr>
    </w:p>
    <w:p>
      <w:pPr>
        <w:rPr>
          <w:rFonts w:ascii="黑体" w:hAnsi="黑体" w:eastAsia="黑体" w:cs="黑体"/>
          <w:bCs/>
          <w:color w:val="000000"/>
          <w:sz w:val="30"/>
          <w:szCs w:val="30"/>
        </w:rPr>
      </w:pPr>
      <w:r>
        <w:rPr>
          <w:rFonts w:hint="eastAsia" w:ascii="黑体" w:hAnsi="黑体" w:eastAsia="黑体" w:cs="黑体"/>
          <w:bCs/>
          <w:color w:val="000000"/>
          <w:sz w:val="30"/>
          <w:szCs w:val="30"/>
        </w:rPr>
        <w:t>六、拟建设学位点（学位点名称：金融</w:t>
      </w:r>
      <w:r>
        <w:rPr>
          <w:rFonts w:hint="eastAsia" w:ascii="黑体" w:hAnsi="黑体" w:eastAsia="黑体" w:cs="黑体"/>
          <w:bCs/>
          <w:color w:val="000000"/>
          <w:sz w:val="30"/>
          <w:szCs w:val="30"/>
          <w:lang w:val="en-US" w:eastAsia="zh-CN"/>
        </w:rPr>
        <w:t>专业</w:t>
      </w:r>
      <w:r>
        <w:rPr>
          <w:rFonts w:hint="eastAsia" w:ascii="黑体" w:hAnsi="黑体" w:eastAsia="黑体" w:cs="黑体"/>
          <w:bCs/>
          <w:color w:val="000000"/>
          <w:sz w:val="30"/>
          <w:szCs w:val="30"/>
        </w:rPr>
        <w:t>硕士 ）任务与举措</w:t>
      </w:r>
    </w:p>
    <w:tbl>
      <w:tblPr>
        <w:tblStyle w:val="9"/>
        <w:tblW w:w="87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jc w:val="center"/>
        </w:trPr>
        <w:tc>
          <w:tcPr>
            <w:tcW w:w="8740" w:type="dxa"/>
            <w:noWrap w:val="0"/>
            <w:vAlign w:val="top"/>
          </w:tcPr>
          <w:p>
            <w:pPr>
              <w:widowControl/>
              <w:jc w:val="left"/>
              <w:rPr>
                <w:rFonts w:ascii="仿宋_GB2312" w:hAnsi="仿宋_GB2312" w:eastAsia="仿宋_GB2312" w:cs="仿宋_GB2312"/>
                <w:color w:val="000000"/>
                <w:kern w:val="0"/>
                <w:sz w:val="28"/>
                <w:szCs w:val="28"/>
                <w:lang w:bidi="ar"/>
              </w:rPr>
            </w:pPr>
            <w:r>
              <w:rPr>
                <w:rFonts w:hint="eastAsia" w:ascii="仿宋_GB2312" w:hAnsi="仿宋_GB2312" w:eastAsia="仿宋_GB2312" w:cs="仿宋_GB2312"/>
                <w:b/>
                <w:bCs/>
                <w:color w:val="000000"/>
                <w:kern w:val="0"/>
                <w:sz w:val="28"/>
                <w:szCs w:val="28"/>
                <w:lang w:bidi="ar"/>
              </w:rPr>
              <w:t xml:space="preserve">任务1：学科专业特色建设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30" w:hRule="atLeast"/>
          <w:jc w:val="center"/>
        </w:trPr>
        <w:tc>
          <w:tcPr>
            <w:tcW w:w="8740" w:type="dxa"/>
            <w:noWrap w:val="0"/>
            <w:vAlign w:val="top"/>
          </w:tcPr>
          <w:p>
            <w:pPr>
              <w:spacing w:line="400" w:lineRule="exact"/>
              <w:rPr>
                <w:rFonts w:hint="eastAsia" w:ascii="仿宋_GB2312" w:hAnsi="仿宋_GB2312" w:eastAsia="仿宋_GB2312" w:cs="仿宋_GB2312"/>
                <w:b/>
                <w:bCs/>
                <w:color w:val="000000"/>
                <w:kern w:val="0"/>
                <w:sz w:val="28"/>
                <w:szCs w:val="28"/>
                <w:lang w:bidi="ar"/>
              </w:rPr>
            </w:pPr>
            <w:r>
              <w:rPr>
                <w:rFonts w:hint="eastAsia" w:ascii="仿宋_GB2312" w:hAnsi="仿宋_GB2312" w:eastAsia="仿宋_GB2312" w:cs="仿宋_GB2312"/>
                <w:b/>
                <w:bCs/>
                <w:color w:val="000000"/>
                <w:kern w:val="0"/>
                <w:sz w:val="28"/>
                <w:szCs w:val="28"/>
                <w:lang w:bidi="ar"/>
              </w:rPr>
              <w:t>具体举措：</w:t>
            </w:r>
          </w:p>
          <w:p>
            <w:pPr>
              <w:spacing w:line="400" w:lineRule="exact"/>
              <w:ind w:firstLine="560" w:firstLineChars="200"/>
              <w:textAlignment w:val="baseline"/>
              <w:rPr>
                <w:rStyle w:val="18"/>
                <w:rFonts w:hint="eastAsia" w:ascii="仿宋_GB2312" w:hAnsi="仿宋_GB2312" w:eastAsia="仿宋_GB2312"/>
                <w:color w:val="000000" w:themeColor="text1"/>
                <w:kern w:val="0"/>
                <w:sz w:val="28"/>
                <w:szCs w:val="28"/>
                <w:lang w:eastAsia="zh-CN"/>
                <w14:textFill>
                  <w14:solidFill>
                    <w14:schemeClr w14:val="tx1"/>
                  </w14:solidFill>
                </w14:textFill>
              </w:rPr>
            </w:pPr>
            <w:r>
              <w:rPr>
                <w:rStyle w:val="18"/>
                <w:rFonts w:hint="default" w:ascii="仿宋_GB2312" w:hAnsi="仿宋_GB2312" w:eastAsia="仿宋_GB2312"/>
                <w:color w:val="000000" w:themeColor="text1"/>
                <w:kern w:val="0"/>
                <w:sz w:val="28"/>
                <w:szCs w:val="28"/>
                <w:lang w:eastAsia="zh-CN"/>
                <w14:textFill>
                  <w14:solidFill>
                    <w14:schemeClr w14:val="tx1"/>
                  </w14:solidFill>
                </w14:textFill>
              </w:rPr>
              <w:t>（</w:t>
            </w:r>
            <w:r>
              <w:rPr>
                <w:rStyle w:val="18"/>
                <w:rFonts w:hint="default" w:ascii="仿宋_GB2312" w:hAnsi="仿宋_GB2312" w:eastAsia="仿宋_GB2312"/>
                <w:color w:val="000000" w:themeColor="text1"/>
                <w:kern w:val="0"/>
                <w:sz w:val="28"/>
                <w:szCs w:val="28"/>
                <w:lang w:val="en-US" w:eastAsia="zh-CN"/>
                <w14:textFill>
                  <w14:solidFill>
                    <w14:schemeClr w14:val="tx1"/>
                  </w14:solidFill>
                </w14:textFill>
              </w:rPr>
              <w:t>1</w:t>
            </w:r>
            <w:r>
              <w:rPr>
                <w:rStyle w:val="18"/>
                <w:rFonts w:hint="default" w:ascii="仿宋_GB2312" w:hAnsi="仿宋_GB2312" w:eastAsia="仿宋_GB2312"/>
                <w:color w:val="000000" w:themeColor="text1"/>
                <w:kern w:val="0"/>
                <w:sz w:val="28"/>
                <w:szCs w:val="28"/>
                <w:lang w:eastAsia="zh-CN"/>
                <w14:textFill>
                  <w14:solidFill>
                    <w14:schemeClr w14:val="tx1"/>
                  </w14:solidFill>
                </w14:textFill>
              </w:rPr>
              <w:t>）</w:t>
            </w:r>
            <w:r>
              <w:rPr>
                <w:rStyle w:val="18"/>
                <w:rFonts w:hint="default" w:ascii="仿宋_GB2312" w:hAnsi="仿宋_GB2312" w:eastAsia="仿宋_GB2312"/>
                <w:color w:val="000000" w:themeColor="text1"/>
                <w:kern w:val="0"/>
                <w:sz w:val="28"/>
                <w:szCs w:val="28"/>
                <w:lang w:val="en-US" w:eastAsia="zh-CN"/>
                <w14:textFill>
                  <w14:solidFill>
                    <w14:schemeClr w14:val="tx1"/>
                  </w14:solidFill>
                </w14:textFill>
              </w:rPr>
              <w:t>行业</w:t>
            </w:r>
            <w:r>
              <w:rPr>
                <w:rStyle w:val="18"/>
                <w:rFonts w:hint="eastAsia" w:ascii="仿宋_GB2312" w:hAnsi="仿宋_GB2312" w:eastAsia="仿宋_GB2312"/>
                <w:color w:val="000000" w:themeColor="text1"/>
                <w:kern w:val="0"/>
                <w:sz w:val="28"/>
                <w:szCs w:val="28"/>
                <w:lang w:val="en-US" w:eastAsia="zh-CN"/>
                <w14:textFill>
                  <w14:solidFill>
                    <w14:schemeClr w14:val="tx1"/>
                  </w14:solidFill>
                </w14:textFill>
              </w:rPr>
              <w:t>性</w:t>
            </w:r>
            <w:r>
              <w:rPr>
                <w:rStyle w:val="18"/>
                <w:rFonts w:hint="default" w:ascii="仿宋_GB2312" w:hAnsi="仿宋_GB2312" w:eastAsia="仿宋_GB2312"/>
                <w:color w:val="000000" w:themeColor="text1"/>
                <w:kern w:val="0"/>
                <w:sz w:val="28"/>
                <w:szCs w:val="28"/>
                <w:lang w:val="en-US" w:eastAsia="zh-CN"/>
                <w14:textFill>
                  <w14:solidFill>
                    <w14:schemeClr w14:val="tx1"/>
                  </w14:solidFill>
                </w14:textFill>
              </w:rPr>
              <w:t>特色</w:t>
            </w:r>
            <w:r>
              <w:rPr>
                <w:rStyle w:val="18"/>
                <w:rFonts w:hint="eastAsia" w:ascii="仿宋_GB2312" w:hAnsi="仿宋_GB2312" w:eastAsia="仿宋_GB2312"/>
                <w:color w:val="000000" w:themeColor="text1"/>
                <w:kern w:val="0"/>
                <w:sz w:val="28"/>
                <w:szCs w:val="28"/>
                <w:lang w:val="en-US" w:eastAsia="zh-CN"/>
                <w14:textFill>
                  <w14:solidFill>
                    <w14:schemeClr w14:val="tx1"/>
                  </w14:solidFill>
                </w14:textFill>
              </w:rPr>
              <w:t>建设。金融硕士学位点培育建设，</w:t>
            </w:r>
            <w:r>
              <w:rPr>
                <w:rStyle w:val="18"/>
                <w:rFonts w:hint="default" w:ascii="仿宋_GB2312" w:hAnsi="仿宋_GB2312" w:eastAsia="仿宋_GB2312"/>
                <w:color w:val="000000" w:themeColor="text1"/>
                <w:kern w:val="0"/>
                <w:sz w:val="28"/>
                <w:szCs w:val="28"/>
                <w14:textFill>
                  <w14:solidFill>
                    <w14:schemeClr w14:val="tx1"/>
                  </w14:solidFill>
                </w14:textFill>
              </w:rPr>
              <w:t>以“</w:t>
            </w:r>
            <w:r>
              <w:rPr>
                <w:rStyle w:val="18"/>
                <w:rFonts w:hint="eastAsia" w:ascii="仿宋_GB2312" w:hAnsi="仿宋_GB2312" w:eastAsia="仿宋_GB2312"/>
                <w:color w:val="000000" w:themeColor="text1"/>
                <w:kern w:val="0"/>
                <w:sz w:val="28"/>
                <w:szCs w:val="28"/>
                <w:lang w:val="en-US" w:eastAsia="zh-CN"/>
                <w14:textFill>
                  <w14:solidFill>
                    <w14:schemeClr w14:val="tx1"/>
                  </w14:solidFill>
                </w14:textFill>
              </w:rPr>
              <w:t>引企入教、</w:t>
            </w:r>
            <w:r>
              <w:rPr>
                <w:rStyle w:val="18"/>
                <w:rFonts w:hint="default" w:ascii="仿宋_GB2312" w:hAnsi="仿宋_GB2312" w:eastAsia="仿宋_GB2312"/>
                <w:color w:val="000000" w:themeColor="text1"/>
                <w:kern w:val="0"/>
                <w:sz w:val="28"/>
                <w:szCs w:val="28"/>
                <w14:textFill>
                  <w14:solidFill>
                    <w14:schemeClr w14:val="tx1"/>
                  </w14:solidFill>
                </w14:textFill>
              </w:rPr>
              <w:t>产教融合”</w:t>
            </w:r>
            <w:r>
              <w:rPr>
                <w:rStyle w:val="18"/>
                <w:rFonts w:hint="default" w:ascii="仿宋_GB2312" w:hAnsi="仿宋_GB2312" w:eastAsia="仿宋_GB2312"/>
                <w:color w:val="000000" w:themeColor="text1"/>
                <w:kern w:val="0"/>
                <w:sz w:val="28"/>
                <w:szCs w:val="28"/>
                <w:lang w:val="en-US" w:eastAsia="zh-CN"/>
                <w14:textFill>
                  <w14:solidFill>
                    <w14:schemeClr w14:val="tx1"/>
                  </w14:solidFill>
                </w14:textFill>
              </w:rPr>
              <w:t>为</w:t>
            </w:r>
            <w:r>
              <w:rPr>
                <w:rStyle w:val="18"/>
                <w:rFonts w:hint="eastAsia" w:ascii="仿宋_GB2312" w:hAnsi="仿宋_GB2312" w:eastAsia="仿宋_GB2312"/>
                <w:color w:val="000000" w:themeColor="text1"/>
                <w:kern w:val="0"/>
                <w:sz w:val="28"/>
                <w:szCs w:val="28"/>
                <w:lang w:val="en-US" w:eastAsia="zh-CN"/>
                <w14:textFill>
                  <w14:solidFill>
                    <w14:schemeClr w14:val="tx1"/>
                  </w14:solidFill>
                </w14:textFill>
              </w:rPr>
              <w:t>导向</w:t>
            </w:r>
            <w:r>
              <w:rPr>
                <w:rStyle w:val="18"/>
                <w:rFonts w:hint="default" w:ascii="仿宋_GB2312" w:hAnsi="仿宋_GB2312" w:eastAsia="仿宋_GB2312"/>
                <w:color w:val="000000" w:themeColor="text1"/>
                <w:kern w:val="0"/>
                <w:sz w:val="28"/>
                <w:szCs w:val="28"/>
                <w14:textFill>
                  <w14:solidFill>
                    <w14:schemeClr w14:val="tx1"/>
                  </w14:solidFill>
                </w14:textFill>
              </w:rPr>
              <w:t>，学科</w:t>
            </w:r>
            <w:r>
              <w:rPr>
                <w:rStyle w:val="18"/>
                <w:rFonts w:hint="default" w:ascii="仿宋_GB2312" w:hAnsi="仿宋_GB2312" w:eastAsia="仿宋_GB2312"/>
                <w:color w:val="000000" w:themeColor="text1"/>
                <w:kern w:val="0"/>
                <w:sz w:val="28"/>
                <w:szCs w:val="28"/>
                <w:lang w:val="en-US" w:eastAsia="zh-CN"/>
                <w14:textFill>
                  <w14:solidFill>
                    <w14:schemeClr w14:val="tx1"/>
                  </w14:solidFill>
                </w14:textFill>
              </w:rPr>
              <w:t>在</w:t>
            </w:r>
            <w:r>
              <w:rPr>
                <w:rStyle w:val="18"/>
                <w:rFonts w:hint="eastAsia" w:ascii="仿宋_GB2312" w:hAnsi="仿宋_GB2312" w:eastAsia="仿宋_GB2312"/>
                <w:color w:val="000000" w:themeColor="text1"/>
                <w:kern w:val="0"/>
                <w:sz w:val="28"/>
                <w:szCs w:val="28"/>
                <w:lang w:val="en-US" w:eastAsia="zh-CN"/>
                <w14:textFill>
                  <w14:solidFill>
                    <w14:schemeClr w14:val="tx1"/>
                  </w14:solidFill>
                </w14:textFill>
              </w:rPr>
              <w:t>新金融特别是</w:t>
            </w:r>
            <w:r>
              <w:rPr>
                <w:rStyle w:val="18"/>
                <w:rFonts w:hint="default" w:ascii="仿宋_GB2312" w:hAnsi="仿宋_GB2312" w:eastAsia="仿宋_GB2312"/>
                <w:color w:val="000000" w:themeColor="text1"/>
                <w:kern w:val="0"/>
                <w:sz w:val="28"/>
                <w:szCs w:val="28"/>
                <w:lang w:val="en-US" w:eastAsia="zh-CN"/>
                <w14:textFill>
                  <w14:solidFill>
                    <w14:schemeClr w14:val="tx1"/>
                  </w14:solidFill>
                </w14:textFill>
              </w:rPr>
              <w:t>金融科技</w:t>
            </w:r>
            <w:r>
              <w:rPr>
                <w:rStyle w:val="18"/>
                <w:rFonts w:hint="eastAsia" w:ascii="仿宋_GB2312" w:hAnsi="仿宋_GB2312" w:eastAsia="仿宋_GB2312"/>
                <w:color w:val="000000" w:themeColor="text1"/>
                <w:kern w:val="0"/>
                <w:sz w:val="28"/>
                <w:szCs w:val="28"/>
                <w:lang w:val="en-US" w:eastAsia="zh-CN"/>
                <w14:textFill>
                  <w14:solidFill>
                    <w14:schemeClr w14:val="tx1"/>
                  </w14:solidFill>
                </w14:textFill>
              </w:rPr>
              <w:t>、</w:t>
            </w:r>
            <w:r>
              <w:rPr>
                <w:rStyle w:val="18"/>
                <w:rFonts w:hint="default" w:ascii="仿宋_GB2312" w:hAnsi="仿宋_GB2312" w:eastAsia="仿宋_GB2312"/>
                <w:color w:val="000000" w:themeColor="text1"/>
                <w:kern w:val="0"/>
                <w:sz w:val="28"/>
                <w:szCs w:val="28"/>
                <w:lang w:val="en-US" w:eastAsia="zh-CN"/>
                <w14:textFill>
                  <w14:solidFill>
                    <w14:schemeClr w14:val="tx1"/>
                  </w14:solidFill>
                </w14:textFill>
              </w:rPr>
              <w:t>绿色金融</w:t>
            </w:r>
            <w:r>
              <w:rPr>
                <w:rStyle w:val="18"/>
                <w:rFonts w:hint="eastAsia" w:ascii="仿宋_GB2312" w:hAnsi="仿宋_GB2312" w:eastAsia="仿宋_GB2312"/>
                <w:color w:val="000000" w:themeColor="text1"/>
                <w:kern w:val="0"/>
                <w:sz w:val="28"/>
                <w:szCs w:val="28"/>
                <w:lang w:val="en-US" w:eastAsia="zh-CN"/>
                <w14:textFill>
                  <w14:solidFill>
                    <w14:schemeClr w14:val="tx1"/>
                  </w14:solidFill>
                </w14:textFill>
              </w:rPr>
              <w:t>、财富管理等</w:t>
            </w:r>
            <w:r>
              <w:rPr>
                <w:rStyle w:val="18"/>
                <w:rFonts w:hint="default" w:ascii="仿宋_GB2312" w:hAnsi="仿宋_GB2312" w:eastAsia="仿宋_GB2312"/>
                <w:color w:val="000000" w:themeColor="text1"/>
                <w:kern w:val="0"/>
                <w:sz w:val="28"/>
                <w:szCs w:val="28"/>
                <w:lang w:val="en-US" w:eastAsia="zh-CN"/>
                <w14:textFill>
                  <w14:solidFill>
                    <w14:schemeClr w14:val="tx1"/>
                  </w14:solidFill>
                </w14:textFill>
              </w:rPr>
              <w:t>行业发展</w:t>
            </w:r>
            <w:r>
              <w:rPr>
                <w:rStyle w:val="18"/>
                <w:rFonts w:hint="eastAsia" w:ascii="仿宋_GB2312" w:hAnsi="仿宋_GB2312" w:eastAsia="仿宋_GB2312"/>
                <w:color w:val="000000" w:themeColor="text1"/>
                <w:kern w:val="0"/>
                <w:sz w:val="28"/>
                <w:szCs w:val="28"/>
                <w:lang w:val="en-US" w:eastAsia="zh-CN"/>
                <w14:textFill>
                  <w14:solidFill>
                    <w14:schemeClr w14:val="tx1"/>
                  </w14:solidFill>
                </w14:textFill>
              </w:rPr>
              <w:t>前沿领域</w:t>
            </w:r>
            <w:r>
              <w:rPr>
                <w:rStyle w:val="18"/>
                <w:rFonts w:hint="default" w:ascii="仿宋_GB2312" w:hAnsi="仿宋_GB2312" w:eastAsia="仿宋_GB2312"/>
                <w:color w:val="000000" w:themeColor="text1"/>
                <w:kern w:val="0"/>
                <w:sz w:val="28"/>
                <w:szCs w:val="28"/>
                <w:lang w:val="en-US" w:eastAsia="zh-CN"/>
                <w14:textFill>
                  <w14:solidFill>
                    <w14:schemeClr w14:val="tx1"/>
                  </w14:solidFill>
                </w14:textFill>
              </w:rPr>
              <w:t>，具备较为强大的</w:t>
            </w:r>
            <w:r>
              <w:rPr>
                <w:rStyle w:val="18"/>
                <w:rFonts w:hint="eastAsia" w:ascii="仿宋_GB2312" w:hAnsi="仿宋_GB2312" w:eastAsia="仿宋_GB2312"/>
                <w:color w:val="000000" w:themeColor="text1"/>
                <w:kern w:val="0"/>
                <w:sz w:val="28"/>
                <w:szCs w:val="28"/>
                <w:lang w:val="en-US" w:eastAsia="zh-CN"/>
                <w14:textFill>
                  <w14:solidFill>
                    <w14:schemeClr w14:val="tx1"/>
                  </w14:solidFill>
                </w14:textFill>
              </w:rPr>
              <w:t>引领与</w:t>
            </w:r>
            <w:r>
              <w:rPr>
                <w:rStyle w:val="18"/>
                <w:rFonts w:hint="default" w:ascii="仿宋_GB2312" w:hAnsi="仿宋_GB2312" w:eastAsia="仿宋_GB2312"/>
                <w:color w:val="000000" w:themeColor="text1"/>
                <w:kern w:val="0"/>
                <w:sz w:val="28"/>
                <w:szCs w:val="28"/>
                <w14:textFill>
                  <w14:solidFill>
                    <w14:schemeClr w14:val="tx1"/>
                  </w14:solidFill>
                </w14:textFill>
              </w:rPr>
              <w:t>支撑功能</w:t>
            </w:r>
            <w:r>
              <w:rPr>
                <w:rStyle w:val="18"/>
                <w:rFonts w:hint="eastAsia" w:ascii="仿宋_GB2312" w:hAnsi="仿宋_GB2312" w:eastAsia="仿宋_GB2312"/>
                <w:color w:val="000000" w:themeColor="text1"/>
                <w:kern w:val="0"/>
                <w:sz w:val="28"/>
                <w:szCs w:val="28"/>
                <w:lang w:eastAsia="zh-CN"/>
                <w14:textFill>
                  <w14:solidFill>
                    <w14:schemeClr w14:val="tx1"/>
                  </w14:solidFill>
                </w14:textFill>
              </w:rPr>
              <w:t>。</w:t>
            </w:r>
            <w:r>
              <w:rPr>
                <w:rStyle w:val="18"/>
                <w:rFonts w:hint="eastAsia" w:ascii="仿宋_GB2312" w:hAnsi="仿宋_GB2312" w:eastAsia="仿宋_GB2312"/>
                <w:color w:val="000000" w:themeColor="text1"/>
                <w:kern w:val="0"/>
                <w:sz w:val="28"/>
                <w:szCs w:val="28"/>
                <w:lang w:val="en-US" w:eastAsia="zh-CN"/>
                <w14:textFill>
                  <w14:solidFill>
                    <w14:schemeClr w14:val="tx1"/>
                  </w14:solidFill>
                </w14:textFill>
              </w:rPr>
              <w:t>金融科技</w:t>
            </w:r>
            <w:r>
              <w:rPr>
                <w:rStyle w:val="18"/>
                <w:rFonts w:hint="eastAsia" w:ascii="仿宋_GB2312" w:hAnsi="仿宋_GB2312" w:eastAsia="仿宋_GB2312"/>
                <w:color w:val="000000" w:themeColor="text1"/>
                <w:kern w:val="0"/>
                <w:sz w:val="28"/>
                <w:szCs w:val="28"/>
                <w14:textFill>
                  <w14:solidFill>
                    <w14:schemeClr w14:val="tx1"/>
                  </w14:solidFill>
                </w14:textFill>
              </w:rPr>
              <w:t>学科方向</w:t>
            </w:r>
            <w:r>
              <w:rPr>
                <w:rStyle w:val="18"/>
                <w:rFonts w:hint="eastAsia" w:ascii="仿宋_GB2312" w:hAnsi="仿宋_GB2312" w:eastAsia="仿宋_GB2312"/>
                <w:color w:val="000000" w:themeColor="text1"/>
                <w:kern w:val="0"/>
                <w:sz w:val="28"/>
                <w:szCs w:val="28"/>
                <w:lang w:eastAsia="zh-CN"/>
                <w14:textFill>
                  <w14:solidFill>
                    <w14:schemeClr w14:val="tx1"/>
                  </w14:solidFill>
                </w14:textFill>
              </w:rPr>
              <w:t>，</w:t>
            </w:r>
            <w:r>
              <w:rPr>
                <w:rStyle w:val="18"/>
                <w:rFonts w:hint="eastAsia" w:ascii="仿宋_GB2312" w:hAnsi="仿宋_GB2312" w:eastAsia="仿宋_GB2312"/>
                <w:color w:val="000000" w:themeColor="text1"/>
                <w:kern w:val="0"/>
                <w:sz w:val="28"/>
                <w:szCs w:val="28"/>
                <w:lang w:val="en-US" w:eastAsia="zh-CN"/>
                <w14:textFill>
                  <w14:solidFill>
                    <w14:schemeClr w14:val="tx1"/>
                  </w14:solidFill>
                </w14:textFill>
              </w:rPr>
              <w:t>主要为金融行业</w:t>
            </w:r>
            <w:r>
              <w:rPr>
                <w:rStyle w:val="18"/>
                <w:rFonts w:hint="eastAsia" w:ascii="仿宋_GB2312" w:hAnsi="仿宋_GB2312" w:eastAsia="仿宋_GB2312"/>
                <w:color w:val="000000" w:themeColor="text1"/>
                <w:kern w:val="0"/>
                <w:sz w:val="28"/>
                <w:szCs w:val="28"/>
                <w14:textFill>
                  <w14:solidFill>
                    <w14:schemeClr w14:val="tx1"/>
                  </w14:solidFill>
                </w14:textFill>
              </w:rPr>
              <w:t>培养具有良好金融理论基础，熟悉计算机网络信息技术，具备数据处理与挖掘、程序设计、网络信息技术、人工智能、区块链、云计算等相关知识，了解国内外金融科技应用前沿，富有创新、进取精神和较强的从事金融科技领域实际工作能力的应用型、复合型金融人才。绿色金融学科方向</w:t>
            </w:r>
            <w:r>
              <w:rPr>
                <w:rStyle w:val="18"/>
                <w:rFonts w:hint="eastAsia" w:ascii="仿宋_GB2312" w:hAnsi="仿宋_GB2312" w:eastAsia="仿宋_GB2312"/>
                <w:color w:val="000000" w:themeColor="text1"/>
                <w:kern w:val="0"/>
                <w:sz w:val="28"/>
                <w:szCs w:val="28"/>
                <w:lang w:eastAsia="zh-CN"/>
                <w14:textFill>
                  <w14:solidFill>
                    <w14:schemeClr w14:val="tx1"/>
                  </w14:solidFill>
                </w14:textFill>
              </w:rPr>
              <w:t>，</w:t>
            </w:r>
            <w:r>
              <w:rPr>
                <w:rStyle w:val="18"/>
                <w:rFonts w:hint="eastAsia" w:ascii="仿宋_GB2312" w:hAnsi="仿宋_GB2312" w:eastAsia="仿宋_GB2312"/>
                <w:color w:val="000000" w:themeColor="text1"/>
                <w:kern w:val="0"/>
                <w:sz w:val="28"/>
                <w:szCs w:val="28"/>
                <w14:textFill>
                  <w14:solidFill>
                    <w14:schemeClr w14:val="tx1"/>
                  </w14:solidFill>
                </w14:textFill>
              </w:rPr>
              <w:t>重点关注和研究</w:t>
            </w:r>
            <w:r>
              <w:rPr>
                <w:rStyle w:val="18"/>
                <w:rFonts w:hint="eastAsia" w:ascii="仿宋_GB2312" w:hAnsi="仿宋_GB2312" w:eastAsia="仿宋_GB2312"/>
                <w:color w:val="000000" w:themeColor="text1"/>
                <w:kern w:val="0"/>
                <w:sz w:val="28"/>
                <w:szCs w:val="28"/>
                <w:lang w:val="en-US" w:eastAsia="zh-CN"/>
                <w14:textFill>
                  <w14:solidFill>
                    <w14:schemeClr w14:val="tx1"/>
                  </w14:solidFill>
                </w14:textFill>
              </w:rPr>
              <w:t>绿色金融的发展</w:t>
            </w:r>
            <w:r>
              <w:rPr>
                <w:rStyle w:val="18"/>
                <w:rFonts w:hint="eastAsia" w:ascii="仿宋_GB2312" w:hAnsi="仿宋_GB2312" w:eastAsia="仿宋_GB2312"/>
                <w:color w:val="000000" w:themeColor="text1"/>
                <w:kern w:val="0"/>
                <w:sz w:val="28"/>
                <w:szCs w:val="28"/>
                <w:lang w:eastAsia="zh-CN"/>
                <w14:textFill>
                  <w14:solidFill>
                    <w14:schemeClr w14:val="tx1"/>
                  </w14:solidFill>
                </w14:textFill>
              </w:rPr>
              <w:t>，</w:t>
            </w:r>
            <w:r>
              <w:rPr>
                <w:rStyle w:val="18"/>
                <w:rFonts w:hint="eastAsia" w:ascii="仿宋_GB2312" w:hAnsi="仿宋_GB2312" w:eastAsia="仿宋_GB2312"/>
                <w:color w:val="000000" w:themeColor="text1"/>
                <w:kern w:val="0"/>
                <w:sz w:val="28"/>
                <w:szCs w:val="28"/>
                <w14:textFill>
                  <w14:solidFill>
                    <w14:schemeClr w14:val="tx1"/>
                  </w14:solidFill>
                </w14:textFill>
              </w:rPr>
              <w:t>支持环境改善、应对气候变化和资源高效利用的金融机制；各种绿色金融产品，包括绿色信贷、绿色债券、绿色股票指数等的研发与应用；绿色项目投融资、项目运营和风险管理的金融服务，包括贷款和证券发行等融资活动，也包括绿色保险等风险管理活动，还包括具有多种功能的碳金融业务。</w:t>
            </w:r>
          </w:p>
          <w:p>
            <w:pPr>
              <w:spacing w:line="400" w:lineRule="exact"/>
              <w:ind w:firstLine="560" w:firstLineChars="200"/>
              <w:textAlignment w:val="baseline"/>
              <w:rPr>
                <w:rStyle w:val="18"/>
                <w:rFonts w:hint="eastAsia" w:ascii="仿宋_GB2312" w:hAnsi="仿宋_GB2312" w:eastAsia="仿宋_GB2312"/>
                <w:color w:val="000000"/>
                <w:kern w:val="0"/>
                <w:sz w:val="28"/>
                <w:szCs w:val="28"/>
              </w:rPr>
            </w:pPr>
            <w:r>
              <w:rPr>
                <w:rStyle w:val="18"/>
                <w:rFonts w:hint="default" w:ascii="仿宋_GB2312" w:hAnsi="仿宋_GB2312" w:eastAsia="仿宋_GB2312"/>
                <w:color w:val="000000" w:themeColor="text1"/>
                <w:kern w:val="0"/>
                <w:sz w:val="28"/>
                <w:szCs w:val="28"/>
                <w:lang w:val="en-US" w:eastAsia="zh-CN"/>
                <w14:textFill>
                  <w14:solidFill>
                    <w14:schemeClr w14:val="tx1"/>
                  </w14:solidFill>
                </w14:textFill>
              </w:rPr>
              <w:t>（</w:t>
            </w:r>
            <w:r>
              <w:rPr>
                <w:rStyle w:val="18"/>
                <w:rFonts w:hint="eastAsia" w:ascii="仿宋_GB2312" w:hAnsi="仿宋_GB2312" w:eastAsia="仿宋_GB2312"/>
                <w:color w:val="000000" w:themeColor="text1"/>
                <w:kern w:val="0"/>
                <w:sz w:val="28"/>
                <w:szCs w:val="28"/>
                <w:lang w:val="en-US" w:eastAsia="zh-CN"/>
                <w14:textFill>
                  <w14:solidFill>
                    <w14:schemeClr w14:val="tx1"/>
                  </w14:solidFill>
                </w14:textFill>
              </w:rPr>
              <w:t>2</w:t>
            </w:r>
            <w:r>
              <w:rPr>
                <w:rStyle w:val="18"/>
                <w:rFonts w:hint="default" w:ascii="仿宋_GB2312" w:hAnsi="仿宋_GB2312" w:eastAsia="仿宋_GB2312"/>
                <w:color w:val="000000" w:themeColor="text1"/>
                <w:kern w:val="0"/>
                <w:sz w:val="28"/>
                <w:szCs w:val="28"/>
                <w:lang w:val="en-US" w:eastAsia="zh-CN"/>
                <w14:textFill>
                  <w14:solidFill>
                    <w14:schemeClr w14:val="tx1"/>
                  </w14:solidFill>
                </w14:textFill>
              </w:rPr>
              <w:t>）地方性特色</w:t>
            </w:r>
            <w:r>
              <w:rPr>
                <w:rStyle w:val="18"/>
                <w:rFonts w:hint="eastAsia" w:ascii="仿宋_GB2312" w:hAnsi="仿宋_GB2312" w:eastAsia="仿宋_GB2312"/>
                <w:color w:val="000000" w:themeColor="text1"/>
                <w:kern w:val="0"/>
                <w:sz w:val="28"/>
                <w:szCs w:val="28"/>
                <w:lang w:val="en-US" w:eastAsia="zh-CN"/>
                <w14:textFill>
                  <w14:solidFill>
                    <w14:schemeClr w14:val="tx1"/>
                  </w14:solidFill>
                </w14:textFill>
              </w:rPr>
              <w:t>建设。</w:t>
            </w:r>
            <w:r>
              <w:rPr>
                <w:rStyle w:val="18"/>
                <w:rFonts w:hint="default" w:ascii="仿宋_GB2312" w:hAnsi="仿宋_GB2312" w:eastAsia="仿宋_GB2312"/>
                <w:color w:val="000000" w:themeColor="text1"/>
                <w:kern w:val="0"/>
                <w:sz w:val="28"/>
                <w:szCs w:val="28"/>
                <w:lang w:val="en-US" w:eastAsia="zh-CN"/>
                <w14:textFill>
                  <w14:solidFill>
                    <w14:schemeClr w14:val="tx1"/>
                  </w14:solidFill>
                </w14:textFill>
              </w:rPr>
              <w:t>金融学科服务国家战略特别是上海地方重大战略的能力得到较大幅度提升。</w:t>
            </w:r>
            <w:r>
              <w:rPr>
                <w:rStyle w:val="18"/>
                <w:rFonts w:hint="eastAsia" w:ascii="仿宋_GB2312" w:hAnsi="仿宋_GB2312" w:eastAsia="仿宋_GB2312"/>
                <w:color w:val="000000" w:themeColor="text1"/>
                <w:kern w:val="0"/>
                <w:sz w:val="28"/>
                <w:szCs w:val="28"/>
                <w:lang w:val="en-US" w:eastAsia="zh-CN"/>
                <w14:textFill>
                  <w14:solidFill>
                    <w14:schemeClr w14:val="tx1"/>
                  </w14:solidFill>
                </w14:textFill>
              </w:rPr>
              <w:t>金融硕士学位点培育建设金融科技与绿色金融2个特色学科方向。</w:t>
            </w:r>
            <w:r>
              <w:rPr>
                <w:rStyle w:val="18"/>
                <w:rFonts w:hint="default" w:ascii="仿宋_GB2312" w:hAnsi="仿宋_GB2312" w:eastAsia="仿宋_GB2312"/>
                <w:color w:val="000000" w:themeColor="text1"/>
                <w:kern w:val="0"/>
                <w:sz w:val="28"/>
                <w:szCs w:val="28"/>
                <w14:textFill>
                  <w14:solidFill>
                    <w14:schemeClr w14:val="tx1"/>
                  </w14:solidFill>
                </w14:textFill>
              </w:rPr>
              <w:t>聚焦金融</w:t>
            </w:r>
            <w:r>
              <w:rPr>
                <w:rStyle w:val="18"/>
                <w:rFonts w:hint="default" w:ascii="仿宋_GB2312" w:hAnsi="仿宋_GB2312" w:eastAsia="仿宋_GB2312"/>
                <w:color w:val="000000" w:themeColor="text1"/>
                <w:kern w:val="0"/>
                <w:sz w:val="28"/>
                <w:szCs w:val="28"/>
                <w:lang w:val="en-US" w:eastAsia="zh-CN"/>
                <w14:textFill>
                  <w14:solidFill>
                    <w14:schemeClr w14:val="tx1"/>
                  </w14:solidFill>
                </w14:textFill>
              </w:rPr>
              <w:t>科技应用</w:t>
            </w:r>
            <w:r>
              <w:rPr>
                <w:rStyle w:val="18"/>
                <w:rFonts w:hint="default" w:ascii="仿宋_GB2312" w:hAnsi="仿宋_GB2312" w:eastAsia="仿宋_GB2312"/>
                <w:color w:val="000000" w:themeColor="text1"/>
                <w:kern w:val="0"/>
                <w:sz w:val="28"/>
                <w:szCs w:val="28"/>
                <w14:textFill>
                  <w14:solidFill>
                    <w14:schemeClr w14:val="tx1"/>
                  </w14:solidFill>
                </w14:textFill>
              </w:rPr>
              <w:t>，</w:t>
            </w:r>
            <w:r>
              <w:rPr>
                <w:rStyle w:val="18"/>
                <w:rFonts w:hint="default" w:ascii="仿宋_GB2312" w:hAnsi="仿宋_GB2312" w:eastAsia="仿宋_GB2312"/>
                <w:color w:val="000000" w:themeColor="text1"/>
                <w:kern w:val="0"/>
                <w:sz w:val="28"/>
                <w:szCs w:val="28"/>
                <w:lang w:val="en-US" w:eastAsia="zh-CN"/>
                <w14:textFill>
                  <w14:solidFill>
                    <w14:schemeClr w14:val="tx1"/>
                  </w14:solidFill>
                </w14:textFill>
              </w:rPr>
              <w:t>建设“上海金融科技应用实验平台”，</w:t>
            </w:r>
            <w:r>
              <w:rPr>
                <w:rStyle w:val="18"/>
                <w:rFonts w:hint="default" w:ascii="仿宋_GB2312" w:hAnsi="仿宋_GB2312" w:eastAsia="仿宋_GB2312"/>
                <w:color w:val="000000" w:themeColor="text1"/>
                <w:kern w:val="0"/>
                <w:sz w:val="28"/>
                <w:szCs w:val="28"/>
                <w14:textFill>
                  <w14:solidFill>
                    <w14:schemeClr w14:val="tx1"/>
                  </w14:solidFill>
                </w14:textFill>
              </w:rPr>
              <w:t>对上海国际金融中心建设</w:t>
            </w:r>
            <w:r>
              <w:rPr>
                <w:rStyle w:val="18"/>
                <w:rFonts w:hint="default" w:ascii="仿宋_GB2312" w:hAnsi="仿宋_GB2312" w:eastAsia="仿宋_GB2312"/>
                <w:color w:val="000000" w:themeColor="text1"/>
                <w:kern w:val="0"/>
                <w:sz w:val="28"/>
                <w:szCs w:val="28"/>
                <w:lang w:val="en-US" w:eastAsia="zh-CN"/>
                <w14:textFill>
                  <w14:solidFill>
                    <w14:schemeClr w14:val="tx1"/>
                  </w14:solidFill>
                </w14:textFill>
              </w:rPr>
              <w:t>特别是金融科技的应用</w:t>
            </w:r>
            <w:r>
              <w:rPr>
                <w:rStyle w:val="18"/>
                <w:rFonts w:hint="default" w:ascii="仿宋_GB2312" w:hAnsi="仿宋_GB2312" w:eastAsia="仿宋_GB2312"/>
                <w:color w:val="000000" w:themeColor="text1"/>
                <w:kern w:val="0"/>
                <w:sz w:val="28"/>
                <w:szCs w:val="28"/>
                <w14:textFill>
                  <w14:solidFill>
                    <w14:schemeClr w14:val="tx1"/>
                  </w14:solidFill>
                </w14:textFill>
              </w:rPr>
              <w:t>开展持续性</w:t>
            </w:r>
            <w:r>
              <w:rPr>
                <w:rStyle w:val="18"/>
                <w:rFonts w:hint="default" w:ascii="仿宋_GB2312" w:hAnsi="仿宋_GB2312" w:eastAsia="仿宋_GB2312"/>
                <w:color w:val="000000" w:themeColor="text1"/>
                <w:kern w:val="0"/>
                <w:sz w:val="28"/>
                <w:szCs w:val="28"/>
                <w:lang w:val="en-US" w:eastAsia="zh-CN"/>
                <w14:textFill>
                  <w14:solidFill>
                    <w14:schemeClr w14:val="tx1"/>
                  </w14:solidFill>
                </w14:textFill>
              </w:rPr>
              <w:t>实验实训与</w:t>
            </w:r>
            <w:r>
              <w:rPr>
                <w:rStyle w:val="18"/>
                <w:rFonts w:hint="default" w:ascii="仿宋_GB2312" w:hAnsi="仿宋_GB2312" w:eastAsia="仿宋_GB2312"/>
                <w:color w:val="000000" w:themeColor="text1"/>
                <w:kern w:val="0"/>
                <w:sz w:val="28"/>
                <w:szCs w:val="28"/>
                <w14:textFill>
                  <w14:solidFill>
                    <w14:schemeClr w14:val="tx1"/>
                  </w14:solidFill>
                </w14:textFill>
              </w:rPr>
              <w:t>研究，</w:t>
            </w:r>
            <w:r>
              <w:rPr>
                <w:rStyle w:val="18"/>
                <w:rFonts w:hint="eastAsia" w:ascii="仿宋_GB2312" w:hAnsi="仿宋_GB2312" w:eastAsia="仿宋_GB2312"/>
                <w:color w:val="000000" w:themeColor="text1"/>
                <w:kern w:val="0"/>
                <w:sz w:val="28"/>
                <w:szCs w:val="28"/>
                <w:lang w:val="en-US" w:eastAsia="zh-CN"/>
                <w14:textFill>
                  <w14:solidFill>
                    <w14:schemeClr w14:val="tx1"/>
                  </w14:solidFill>
                </w14:textFill>
              </w:rPr>
              <w:t>服务</w:t>
            </w:r>
            <w:r>
              <w:rPr>
                <w:rStyle w:val="18"/>
                <w:rFonts w:hint="default" w:ascii="仿宋_GB2312" w:hAnsi="仿宋_GB2312" w:eastAsia="仿宋_GB2312"/>
                <w:color w:val="000000" w:themeColor="text1"/>
                <w:kern w:val="0"/>
                <w:sz w:val="28"/>
                <w:szCs w:val="28"/>
                <w:lang w:val="en-US" w:eastAsia="zh-CN"/>
                <w14:textFill>
                  <w14:solidFill>
                    <w14:schemeClr w14:val="tx1"/>
                  </w14:solidFill>
                </w14:textFill>
              </w:rPr>
              <w:t>上海地方重大发展</w:t>
            </w:r>
            <w:r>
              <w:rPr>
                <w:rStyle w:val="18"/>
                <w:rFonts w:hint="default" w:ascii="仿宋_GB2312" w:hAnsi="仿宋_GB2312" w:eastAsia="仿宋_GB2312"/>
                <w:color w:val="000000" w:themeColor="text1"/>
                <w:kern w:val="0"/>
                <w:sz w:val="28"/>
                <w:szCs w:val="28"/>
                <w14:textFill>
                  <w14:solidFill>
                    <w14:schemeClr w14:val="tx1"/>
                  </w14:solidFill>
                </w14:textFill>
              </w:rPr>
              <w:t>战略。聚焦</w:t>
            </w:r>
            <w:r>
              <w:rPr>
                <w:rStyle w:val="18"/>
                <w:rFonts w:hint="default" w:ascii="仿宋_GB2312" w:hAnsi="仿宋_GB2312" w:eastAsia="仿宋_GB2312"/>
                <w:color w:val="000000" w:themeColor="text1"/>
                <w:kern w:val="0"/>
                <w:sz w:val="28"/>
                <w:szCs w:val="28"/>
                <w:lang w:val="en-US" w:eastAsia="zh-CN"/>
                <w14:textFill>
                  <w14:solidFill>
                    <w14:schemeClr w14:val="tx1"/>
                  </w14:solidFill>
                </w14:textFill>
              </w:rPr>
              <w:t>绿色金融发展，建设“</w:t>
            </w:r>
            <w:r>
              <w:rPr>
                <w:rStyle w:val="18"/>
                <w:rFonts w:hint="default" w:ascii="仿宋_GB2312" w:hAnsi="仿宋_GB2312" w:eastAsia="仿宋_GB2312"/>
                <w:color w:val="000000" w:themeColor="text1"/>
                <w:kern w:val="0"/>
                <w:sz w:val="28"/>
                <w:szCs w:val="28"/>
                <w14:textFill>
                  <w14:solidFill>
                    <w14:schemeClr w14:val="tx1"/>
                  </w14:solidFill>
                </w14:textFill>
              </w:rPr>
              <w:t>崇明</w:t>
            </w:r>
            <w:r>
              <w:rPr>
                <w:rStyle w:val="18"/>
                <w:rFonts w:hint="default" w:ascii="仿宋_GB2312" w:hAnsi="仿宋_GB2312" w:eastAsia="仿宋_GB2312"/>
                <w:color w:val="000000" w:themeColor="text1"/>
                <w:kern w:val="0"/>
                <w:sz w:val="28"/>
                <w:szCs w:val="28"/>
                <w:lang w:val="en-US" w:eastAsia="zh-CN"/>
                <w14:textFill>
                  <w14:solidFill>
                    <w14:schemeClr w14:val="tx1"/>
                  </w14:solidFill>
                </w14:textFill>
              </w:rPr>
              <w:t>国际</w:t>
            </w:r>
            <w:r>
              <w:rPr>
                <w:rStyle w:val="18"/>
                <w:rFonts w:hint="default" w:ascii="仿宋_GB2312" w:hAnsi="仿宋_GB2312" w:eastAsia="仿宋_GB2312"/>
                <w:color w:val="000000" w:themeColor="text1"/>
                <w:kern w:val="0"/>
                <w:sz w:val="28"/>
                <w:szCs w:val="28"/>
                <w14:textFill>
                  <w14:solidFill>
                    <w14:schemeClr w14:val="tx1"/>
                  </w14:solidFill>
                </w14:textFill>
              </w:rPr>
              <w:t>生态岛</w:t>
            </w:r>
            <w:r>
              <w:rPr>
                <w:rStyle w:val="18"/>
                <w:rFonts w:hint="default" w:ascii="仿宋_GB2312" w:hAnsi="仿宋_GB2312" w:eastAsia="仿宋_GB2312"/>
                <w:color w:val="000000" w:themeColor="text1"/>
                <w:kern w:val="0"/>
                <w:sz w:val="28"/>
                <w:szCs w:val="28"/>
                <w:lang w:val="en-US" w:eastAsia="zh-CN"/>
                <w14:textFill>
                  <w14:solidFill>
                    <w14:schemeClr w14:val="tx1"/>
                  </w14:solidFill>
                </w14:textFill>
              </w:rPr>
              <w:t>绿色金融研究中心”，</w:t>
            </w:r>
            <w:r>
              <w:rPr>
                <w:rStyle w:val="18"/>
                <w:rFonts w:hint="default" w:ascii="仿宋_GB2312" w:hAnsi="仿宋_GB2312" w:eastAsia="仿宋_GB2312"/>
                <w:color w:val="000000" w:themeColor="text1"/>
                <w:kern w:val="0"/>
                <w:sz w:val="28"/>
                <w:szCs w:val="28"/>
                <w14:textFill>
                  <w14:solidFill>
                    <w14:schemeClr w14:val="tx1"/>
                  </w14:solidFill>
                </w14:textFill>
              </w:rPr>
              <w:t>助力崇明</w:t>
            </w:r>
            <w:r>
              <w:rPr>
                <w:rStyle w:val="18"/>
                <w:rFonts w:hint="default" w:ascii="仿宋_GB2312" w:hAnsi="仿宋_GB2312" w:eastAsia="仿宋_GB2312"/>
                <w:color w:val="000000" w:themeColor="text1"/>
                <w:kern w:val="0"/>
                <w:sz w:val="28"/>
                <w:szCs w:val="28"/>
                <w:lang w:val="en-US" w:eastAsia="zh-CN"/>
                <w14:textFill>
                  <w14:solidFill>
                    <w14:schemeClr w14:val="tx1"/>
                  </w14:solidFill>
                </w14:textFill>
              </w:rPr>
              <w:t>国际</w:t>
            </w:r>
            <w:r>
              <w:rPr>
                <w:rStyle w:val="18"/>
                <w:rFonts w:hint="default" w:ascii="仿宋_GB2312" w:hAnsi="仿宋_GB2312" w:eastAsia="仿宋_GB2312"/>
                <w:color w:val="000000" w:themeColor="text1"/>
                <w:kern w:val="0"/>
                <w:sz w:val="28"/>
                <w:szCs w:val="28"/>
                <w14:textFill>
                  <w14:solidFill>
                    <w14:schemeClr w14:val="tx1"/>
                  </w14:solidFill>
                </w14:textFill>
              </w:rPr>
              <w:t>生态岛</w:t>
            </w:r>
            <w:r>
              <w:rPr>
                <w:rStyle w:val="18"/>
                <w:rFonts w:hint="default" w:ascii="仿宋_GB2312" w:hAnsi="仿宋_GB2312" w:eastAsia="仿宋_GB2312"/>
                <w:color w:val="000000" w:themeColor="text1"/>
                <w:kern w:val="0"/>
                <w:sz w:val="28"/>
                <w:szCs w:val="28"/>
                <w:lang w:val="en-US" w:eastAsia="zh-CN"/>
                <w14:textFill>
                  <w14:solidFill>
                    <w14:schemeClr w14:val="tx1"/>
                  </w14:solidFill>
                </w14:textFill>
              </w:rPr>
              <w:t>与</w:t>
            </w:r>
            <w:r>
              <w:rPr>
                <w:rStyle w:val="18"/>
                <w:rFonts w:hint="default" w:ascii="仿宋_GB2312" w:hAnsi="仿宋_GB2312" w:eastAsia="仿宋_GB2312"/>
                <w:color w:val="000000" w:themeColor="text1"/>
                <w:kern w:val="0"/>
                <w:sz w:val="28"/>
                <w:szCs w:val="28"/>
                <w14:textFill>
                  <w14:solidFill>
                    <w14:schemeClr w14:val="tx1"/>
                  </w14:solidFill>
                </w14:textFill>
              </w:rPr>
              <w:t>长三角一体化</w:t>
            </w:r>
            <w:r>
              <w:rPr>
                <w:rStyle w:val="18"/>
                <w:rFonts w:hint="default" w:ascii="仿宋_GB2312" w:hAnsi="仿宋_GB2312" w:eastAsia="仿宋_GB2312"/>
                <w:color w:val="000000" w:themeColor="text1"/>
                <w:kern w:val="0"/>
                <w:sz w:val="28"/>
                <w:szCs w:val="28"/>
                <w:lang w:val="en-US" w:eastAsia="zh-CN"/>
                <w14:textFill>
                  <w14:solidFill>
                    <w14:schemeClr w14:val="tx1"/>
                  </w14:solidFill>
                </w14:textFill>
              </w:rPr>
              <w:t>可持续</w:t>
            </w:r>
            <w:r>
              <w:rPr>
                <w:rStyle w:val="18"/>
                <w:rFonts w:hint="default" w:ascii="仿宋_GB2312" w:hAnsi="仿宋_GB2312" w:eastAsia="仿宋_GB2312"/>
                <w:color w:val="000000" w:themeColor="text1"/>
                <w:kern w:val="0"/>
                <w:sz w:val="28"/>
                <w:szCs w:val="28"/>
                <w14:textFill>
                  <w14:solidFill>
                    <w14:schemeClr w14:val="tx1"/>
                  </w14:solidFill>
                </w14:textFill>
              </w:rPr>
              <w:t>发展国家战略。</w:t>
            </w:r>
          </w:p>
          <w:p>
            <w:pPr>
              <w:spacing w:line="400" w:lineRule="exact"/>
              <w:rPr>
                <w:rFonts w:hint="eastAsia" w:ascii="仿宋_GB2312" w:hAnsi="仿宋_GB2312" w:eastAsia="仿宋_GB2312" w:cs="仿宋_GB2312"/>
                <w:color w:val="000000"/>
                <w:kern w:val="0"/>
                <w:sz w:val="28"/>
                <w:szCs w:val="28"/>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jc w:val="center"/>
        </w:trPr>
        <w:tc>
          <w:tcPr>
            <w:tcW w:w="8740" w:type="dxa"/>
            <w:noWrap w:val="0"/>
            <w:vAlign w:val="top"/>
          </w:tcPr>
          <w:p>
            <w:pPr>
              <w:widowControl/>
              <w:jc w:val="left"/>
              <w:rPr>
                <w:rFonts w:ascii="仿宋_GB2312" w:hAnsi="仿宋_GB2312" w:eastAsia="仿宋_GB2312" w:cs="仿宋_GB2312"/>
                <w:color w:val="000000"/>
                <w:kern w:val="0"/>
                <w:sz w:val="28"/>
                <w:szCs w:val="28"/>
                <w:lang w:bidi="ar"/>
              </w:rPr>
            </w:pPr>
            <w:r>
              <w:rPr>
                <w:rFonts w:hint="eastAsia" w:ascii="仿宋_GB2312" w:hAnsi="仿宋_GB2312" w:eastAsia="仿宋_GB2312" w:cs="仿宋_GB2312"/>
                <w:b/>
                <w:bCs/>
                <w:color w:val="000000"/>
                <w:kern w:val="0"/>
                <w:sz w:val="28"/>
                <w:szCs w:val="28"/>
                <w:lang w:bidi="ar"/>
              </w:rPr>
              <w:t>任务2：师资队伍建设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3" w:hRule="atLeast"/>
          <w:jc w:val="center"/>
        </w:trPr>
        <w:tc>
          <w:tcPr>
            <w:tcW w:w="8740" w:type="dxa"/>
            <w:noWrap w:val="0"/>
            <w:vAlign w:val="top"/>
          </w:tcPr>
          <w:p>
            <w:pPr>
              <w:spacing w:line="400" w:lineRule="exact"/>
              <w:rPr>
                <w:rFonts w:hint="eastAsia" w:ascii="仿宋_GB2312" w:hAnsi="仿宋_GB2312" w:eastAsia="仿宋_GB2312" w:cs="仿宋_GB2312"/>
                <w:b/>
                <w:bCs/>
                <w:color w:val="000000"/>
                <w:kern w:val="0"/>
                <w:sz w:val="28"/>
                <w:szCs w:val="28"/>
                <w:lang w:bidi="ar"/>
              </w:rPr>
            </w:pPr>
            <w:r>
              <w:rPr>
                <w:rFonts w:hint="eastAsia" w:ascii="仿宋_GB2312" w:hAnsi="仿宋_GB2312" w:eastAsia="仿宋_GB2312" w:cs="仿宋_GB2312"/>
                <w:b/>
                <w:bCs/>
                <w:color w:val="000000"/>
                <w:kern w:val="0"/>
                <w:sz w:val="28"/>
                <w:szCs w:val="28"/>
                <w:lang w:bidi="ar"/>
              </w:rPr>
              <w:t>具体举措：</w:t>
            </w:r>
          </w:p>
          <w:p>
            <w:pPr>
              <w:spacing w:line="400" w:lineRule="exact"/>
              <w:ind w:firstLine="560" w:firstLineChars="200"/>
              <w:textAlignment w:val="baseline"/>
              <w:rPr>
                <w:rStyle w:val="18"/>
                <w:rFonts w:hint="eastAsia" w:ascii="仿宋_GB2312" w:hAnsi="仿宋_GB2312" w:eastAsia="仿宋_GB2312"/>
                <w:color w:val="000000"/>
                <w:kern w:val="0"/>
                <w:sz w:val="28"/>
                <w:szCs w:val="28"/>
                <w:lang w:val="en-US" w:eastAsia="zh-CN"/>
              </w:rPr>
            </w:pPr>
            <w:r>
              <w:rPr>
                <w:rStyle w:val="18"/>
                <w:rFonts w:hint="eastAsia" w:ascii="仿宋_GB2312" w:hAnsi="仿宋_GB2312" w:eastAsia="仿宋_GB2312"/>
                <w:color w:val="000000"/>
                <w:kern w:val="0"/>
                <w:sz w:val="28"/>
                <w:szCs w:val="28"/>
                <w:lang w:val="en-US" w:eastAsia="zh-CN"/>
              </w:rPr>
              <w:t>强化顶层设计，坚持“引育并举”，加大学科领军人才和学术骨干的引进力度，围绕特色学科方向重点培育2-3个教师梯队，优化青年教师的成长机制，完成代表性成果（代表性论文、代表性著作教材、代表性科研项目、代表性成果转化、代表性获奖成果等）的积累。</w:t>
            </w:r>
          </w:p>
          <w:p>
            <w:pPr>
              <w:spacing w:line="400" w:lineRule="exact"/>
              <w:ind w:firstLine="560" w:firstLineChars="200"/>
              <w:textAlignment w:val="baseline"/>
              <w:rPr>
                <w:rStyle w:val="18"/>
                <w:rFonts w:hint="eastAsia" w:ascii="仿宋_GB2312" w:hAnsi="仿宋_GB2312" w:eastAsia="仿宋_GB2312"/>
                <w:color w:val="000000"/>
                <w:kern w:val="0"/>
                <w:sz w:val="28"/>
                <w:szCs w:val="28"/>
                <w:lang w:val="en-US" w:eastAsia="zh-CN"/>
              </w:rPr>
            </w:pPr>
            <w:r>
              <w:rPr>
                <w:rStyle w:val="18"/>
                <w:rFonts w:hint="eastAsia" w:ascii="仿宋_GB2312" w:hAnsi="仿宋_GB2312" w:eastAsia="仿宋_GB2312"/>
                <w:color w:val="000000"/>
                <w:kern w:val="0"/>
                <w:sz w:val="28"/>
                <w:szCs w:val="28"/>
                <w:lang w:val="en-US" w:eastAsia="zh-CN"/>
              </w:rPr>
              <w:t>（1）实施“新商学振兴计划”，以应用经济学一级学科为平台，引进学科领军人才1-2人，重点培养学术骨干10人，实现金融学科队伍质量的整体提升。</w:t>
            </w:r>
          </w:p>
          <w:p>
            <w:pPr>
              <w:spacing w:line="400" w:lineRule="exact"/>
              <w:ind w:firstLine="560" w:firstLineChars="200"/>
              <w:textAlignment w:val="baseline"/>
              <w:rPr>
                <w:rStyle w:val="18"/>
                <w:rFonts w:hint="eastAsia" w:ascii="仿宋_GB2312" w:hAnsi="仿宋_GB2312" w:eastAsia="仿宋_GB2312"/>
                <w:color w:val="000000"/>
                <w:kern w:val="0"/>
                <w:sz w:val="28"/>
                <w:szCs w:val="28"/>
                <w:lang w:val="en-US" w:eastAsia="zh-CN"/>
              </w:rPr>
            </w:pPr>
            <w:r>
              <w:rPr>
                <w:rStyle w:val="18"/>
                <w:rFonts w:hint="eastAsia" w:ascii="仿宋_GB2312" w:hAnsi="仿宋_GB2312" w:eastAsia="仿宋_GB2312"/>
                <w:color w:val="000000"/>
                <w:kern w:val="0"/>
                <w:sz w:val="28"/>
                <w:szCs w:val="28"/>
                <w:lang w:val="en-US" w:eastAsia="zh-CN"/>
              </w:rPr>
              <w:t>（2）实施“青年教师英才计划”，遴选10-15金融学科青年教师列入计划，进行“双师型”导向培育，促使青年教师聚焦方向，提升教学水平，融入学科建设。</w:t>
            </w:r>
          </w:p>
          <w:p>
            <w:pPr>
              <w:spacing w:line="400" w:lineRule="exact"/>
              <w:ind w:firstLine="560" w:firstLineChars="200"/>
              <w:textAlignment w:val="baseline"/>
              <w:rPr>
                <w:rFonts w:hint="eastAsia" w:ascii="仿宋_GB2312" w:hAnsi="仿宋_GB2312" w:eastAsia="仿宋_GB2312" w:cs="仿宋_GB2312"/>
                <w:color w:val="000000"/>
                <w:kern w:val="0"/>
                <w:sz w:val="28"/>
                <w:szCs w:val="28"/>
                <w:lang w:bidi="ar"/>
              </w:rPr>
            </w:pPr>
            <w:r>
              <w:rPr>
                <w:rStyle w:val="18"/>
                <w:rFonts w:hint="eastAsia" w:ascii="仿宋_GB2312" w:hAnsi="仿宋_GB2312" w:eastAsia="仿宋_GB2312"/>
                <w:color w:val="000000"/>
                <w:kern w:val="0"/>
                <w:sz w:val="28"/>
                <w:szCs w:val="28"/>
                <w:lang w:val="en-US" w:eastAsia="zh-CN"/>
              </w:rPr>
              <w:t>（3）实施“代表性成果攻关计划”，围绕金融科技与绿色金融2个方向，实行项目驱动式学科队伍建设模式，实现重大项目的攻关，取得代表性教学科研成果。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jc w:val="center"/>
        </w:trPr>
        <w:tc>
          <w:tcPr>
            <w:tcW w:w="8740" w:type="dxa"/>
            <w:noWrap w:val="0"/>
            <w:vAlign w:val="top"/>
          </w:tcPr>
          <w:p>
            <w:pPr>
              <w:widowControl/>
              <w:jc w:val="left"/>
              <w:rPr>
                <w:rFonts w:ascii="仿宋_GB2312" w:hAnsi="仿宋_GB2312" w:eastAsia="仿宋_GB2312" w:cs="仿宋_GB2312"/>
                <w:color w:val="000000"/>
                <w:kern w:val="0"/>
                <w:sz w:val="28"/>
                <w:szCs w:val="28"/>
                <w:lang w:bidi="ar"/>
              </w:rPr>
            </w:pPr>
            <w:r>
              <w:rPr>
                <w:rFonts w:hint="eastAsia" w:ascii="仿宋_GB2312" w:hAnsi="仿宋_GB2312" w:eastAsia="仿宋_GB2312" w:cs="仿宋_GB2312"/>
                <w:b/>
                <w:bCs/>
                <w:color w:val="000000"/>
                <w:kern w:val="0"/>
                <w:sz w:val="28"/>
                <w:szCs w:val="28"/>
                <w:lang w:bidi="ar"/>
              </w:rPr>
              <w:t>任务3：人才培养工作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88" w:hRule="atLeast"/>
          <w:jc w:val="center"/>
        </w:trPr>
        <w:tc>
          <w:tcPr>
            <w:tcW w:w="8740" w:type="dxa"/>
            <w:noWrap w:val="0"/>
            <w:vAlign w:val="top"/>
          </w:tcPr>
          <w:p>
            <w:pPr>
              <w:spacing w:line="400" w:lineRule="exact"/>
              <w:rPr>
                <w:rFonts w:hint="eastAsia" w:ascii="仿宋_GB2312" w:hAnsi="仿宋_GB2312" w:eastAsia="仿宋_GB2312" w:cs="仿宋_GB2312"/>
                <w:b/>
                <w:bCs/>
                <w:color w:val="000000"/>
                <w:kern w:val="0"/>
                <w:sz w:val="28"/>
                <w:szCs w:val="28"/>
                <w:lang w:bidi="ar"/>
              </w:rPr>
            </w:pPr>
            <w:r>
              <w:rPr>
                <w:rFonts w:hint="eastAsia" w:ascii="仿宋_GB2312" w:hAnsi="仿宋_GB2312" w:eastAsia="仿宋_GB2312" w:cs="仿宋_GB2312"/>
                <w:b/>
                <w:bCs/>
                <w:color w:val="000000"/>
                <w:kern w:val="0"/>
                <w:sz w:val="28"/>
                <w:szCs w:val="28"/>
                <w:lang w:bidi="ar"/>
              </w:rPr>
              <w:t>具体举措：</w:t>
            </w:r>
          </w:p>
          <w:p>
            <w:pPr>
              <w:spacing w:line="400" w:lineRule="exact"/>
              <w:ind w:firstLine="560" w:firstLineChars="200"/>
              <w:textAlignment w:val="baseline"/>
              <w:rPr>
                <w:rStyle w:val="18"/>
                <w:rFonts w:hint="eastAsia" w:ascii="仿宋_GB2312" w:hAnsi="仿宋_GB2312" w:eastAsia="仿宋_GB2312"/>
                <w:color w:val="000000"/>
                <w:kern w:val="0"/>
                <w:sz w:val="28"/>
                <w:szCs w:val="28"/>
                <w:lang w:val="en-US" w:eastAsia="zh-CN"/>
              </w:rPr>
            </w:pPr>
            <w:r>
              <w:rPr>
                <w:rStyle w:val="18"/>
                <w:rFonts w:hint="eastAsia" w:ascii="仿宋_GB2312" w:hAnsi="仿宋_GB2312" w:eastAsia="仿宋_GB2312"/>
                <w:color w:val="000000"/>
                <w:kern w:val="0"/>
                <w:sz w:val="28"/>
                <w:szCs w:val="28"/>
                <w:lang w:val="en-US" w:eastAsia="zh-CN"/>
              </w:rPr>
              <w:t>（1）调研制定操作性强的金融硕士学位教育人才培养方案。建设要适应这一多层次的“大金融”需求趋势，确立并实施明确的、可操作的各层次金融人才的培养目标。构建大学金融专业硕士教学计划，建立起全面的金融知识结构体系，既有对宏观金融的分析、判断能力，又有从事微观金融业务的能力，为未来发展打下厚实的基础。改革传统培养模式。落实产教融合人才培养模式，提高教学效果，增强学生对业务知识的感性认识、理解应用能力。</w:t>
            </w:r>
          </w:p>
          <w:p>
            <w:pPr>
              <w:spacing w:line="400" w:lineRule="exact"/>
              <w:ind w:firstLine="560" w:firstLineChars="200"/>
              <w:textAlignment w:val="baseline"/>
              <w:rPr>
                <w:rStyle w:val="18"/>
                <w:rFonts w:hint="eastAsia" w:ascii="仿宋_GB2312" w:hAnsi="仿宋_GB2312" w:eastAsia="仿宋_GB2312"/>
                <w:color w:val="000000"/>
                <w:kern w:val="0"/>
                <w:sz w:val="28"/>
                <w:szCs w:val="28"/>
                <w:lang w:val="en-US" w:eastAsia="zh-CN"/>
              </w:rPr>
            </w:pPr>
            <w:r>
              <w:rPr>
                <w:rStyle w:val="18"/>
                <w:rFonts w:hint="eastAsia" w:ascii="仿宋_GB2312" w:hAnsi="仿宋_GB2312" w:eastAsia="仿宋_GB2312"/>
                <w:color w:val="000000"/>
                <w:kern w:val="0"/>
                <w:sz w:val="28"/>
                <w:szCs w:val="28"/>
                <w:lang w:val="en-US" w:eastAsia="zh-CN"/>
              </w:rPr>
              <w:t>（2）构建学科交叉的金融硕士教育课程体系。培养学生运用各种现代工具(包括模型、分析方法、操作设备等)从事业务活动和金融创新的能力，以适应金融信息化、全球化的需要。加强微观金融类课程建设，金融学教学应该顺应这种微观化的金融发展方向，与国外金融学教学接轨，增加微观金融方面的课程，内容包括公司金融、资产定价和金融组织学，具体表现在资本市场、投资理论、家庭理财、公司融资、金融机构的经营与管理等方面。加强微观类课程建设，有利于学生接近和了解现实，将所学的知识应用于</w:t>
            </w:r>
            <w:bookmarkStart w:id="2" w:name="_GoBack"/>
            <w:bookmarkEnd w:id="2"/>
            <w:r>
              <w:rPr>
                <w:rStyle w:val="18"/>
                <w:rFonts w:hint="eastAsia" w:ascii="仿宋_GB2312" w:hAnsi="仿宋_GB2312" w:eastAsia="仿宋_GB2312"/>
                <w:color w:val="000000"/>
                <w:kern w:val="0"/>
                <w:sz w:val="28"/>
                <w:szCs w:val="28"/>
                <w:lang w:val="en-US" w:eastAsia="zh-CN"/>
              </w:rPr>
              <w:t>实际。</w:t>
            </w:r>
          </w:p>
          <w:p>
            <w:pPr>
              <w:spacing w:line="400" w:lineRule="exact"/>
              <w:ind w:firstLine="560" w:firstLineChars="200"/>
              <w:textAlignment w:val="baseline"/>
              <w:rPr>
                <w:rFonts w:hint="eastAsia" w:ascii="仿宋_GB2312" w:hAnsi="仿宋_GB2312" w:eastAsia="仿宋_GB2312" w:cs="仿宋_GB2312"/>
                <w:color w:val="000000"/>
                <w:kern w:val="0"/>
                <w:sz w:val="28"/>
                <w:szCs w:val="28"/>
                <w:lang w:bidi="ar"/>
              </w:rPr>
            </w:pPr>
            <w:r>
              <w:rPr>
                <w:rStyle w:val="18"/>
                <w:rFonts w:hint="eastAsia" w:ascii="仿宋_GB2312" w:hAnsi="仿宋_GB2312" w:eastAsia="仿宋_GB2312"/>
                <w:color w:val="000000"/>
                <w:kern w:val="0"/>
                <w:sz w:val="28"/>
                <w:szCs w:val="28"/>
                <w:lang w:val="en-US" w:eastAsia="zh-CN"/>
              </w:rPr>
              <w:t>（3）积极探索金融硕士人才培养产教融合新模式。在当前金融产业转型升级的重要时期，竞争已由产业技术含量和管理水平的竞争，演变成了金融行业人才的竞争，如何培养出契合行业需求、社会发展的高素质应用型人才，构建金融行业人才生态圈，是金融学科一直关心的问题。面对金融全球化、网络化、技术化的趋势，金融学学科教学必须做到与法学、数学、外语、计算机等多门学科的交叉融合。这既是金融学科发展所需，也是为了培养学生的知识再生能力。注重金融学课程与其他相关学科之间的交叉融合，使学生文理交叉，理工结合，知识结构合理化，有利于提高他们走向社会后的再学习能力，增强适应能力和应变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jc w:val="center"/>
        </w:trPr>
        <w:tc>
          <w:tcPr>
            <w:tcW w:w="8740" w:type="dxa"/>
            <w:noWrap w:val="0"/>
            <w:vAlign w:val="top"/>
          </w:tcPr>
          <w:p>
            <w:pPr>
              <w:widowControl/>
              <w:jc w:val="left"/>
              <w:rPr>
                <w:rFonts w:hint="eastAsia" w:ascii="仿宋_GB2312" w:hAnsi="仿宋_GB2312" w:eastAsia="仿宋_GB2312" w:cs="仿宋_GB2312"/>
                <w:color w:val="000000"/>
                <w:kern w:val="0"/>
                <w:sz w:val="28"/>
                <w:szCs w:val="28"/>
                <w:lang w:bidi="ar"/>
              </w:rPr>
            </w:pPr>
            <w:r>
              <w:rPr>
                <w:rFonts w:hint="eastAsia" w:ascii="仿宋_GB2312" w:hAnsi="仿宋_GB2312" w:eastAsia="仿宋_GB2312" w:cs="仿宋_GB2312"/>
                <w:b/>
                <w:bCs/>
                <w:color w:val="000000"/>
                <w:kern w:val="0"/>
                <w:sz w:val="28"/>
                <w:szCs w:val="28"/>
                <w:lang w:bidi="ar"/>
              </w:rPr>
              <w:t>任务4：培养环境与条件建设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71" w:hRule="atLeast"/>
          <w:jc w:val="center"/>
        </w:trPr>
        <w:tc>
          <w:tcPr>
            <w:tcW w:w="8740" w:type="dxa"/>
            <w:noWrap w:val="0"/>
            <w:vAlign w:val="top"/>
          </w:tcPr>
          <w:p>
            <w:pPr>
              <w:spacing w:line="400" w:lineRule="exact"/>
              <w:rPr>
                <w:rFonts w:hint="eastAsia" w:ascii="仿宋_GB2312" w:hAnsi="仿宋_GB2312" w:eastAsia="仿宋_GB2312" w:cs="仿宋_GB2312"/>
                <w:b/>
                <w:bCs/>
                <w:color w:val="000000"/>
                <w:kern w:val="0"/>
                <w:sz w:val="28"/>
                <w:szCs w:val="28"/>
                <w:lang w:bidi="ar"/>
              </w:rPr>
            </w:pPr>
            <w:r>
              <w:rPr>
                <w:rFonts w:hint="eastAsia" w:ascii="仿宋_GB2312" w:hAnsi="仿宋_GB2312" w:eastAsia="仿宋_GB2312" w:cs="仿宋_GB2312"/>
                <w:b/>
                <w:bCs/>
                <w:color w:val="000000"/>
                <w:kern w:val="0"/>
                <w:sz w:val="28"/>
                <w:szCs w:val="28"/>
                <w:lang w:bidi="ar"/>
              </w:rPr>
              <w:t>具体举措：</w:t>
            </w:r>
          </w:p>
          <w:p>
            <w:pPr>
              <w:spacing w:line="400" w:lineRule="exact"/>
              <w:ind w:firstLine="560" w:firstLineChars="200"/>
              <w:rPr>
                <w:rStyle w:val="18"/>
                <w:rFonts w:hint="eastAsia" w:ascii="仿宋_GB2312" w:hAnsi="仿宋_GB2312" w:eastAsia="仿宋_GB2312"/>
                <w:color w:val="000000" w:themeColor="text1"/>
                <w:kern w:val="0"/>
                <w:sz w:val="28"/>
                <w:szCs w:val="28"/>
                <w:lang w:val="en-US" w:eastAsia="zh-CN"/>
                <w14:textFill>
                  <w14:solidFill>
                    <w14:schemeClr w14:val="tx1"/>
                  </w14:solidFill>
                </w14:textFill>
              </w:rPr>
            </w:pPr>
            <w:r>
              <w:rPr>
                <w:rStyle w:val="18"/>
                <w:rFonts w:hint="eastAsia" w:ascii="仿宋_GB2312" w:hAnsi="仿宋_GB2312" w:eastAsia="仿宋_GB2312"/>
                <w:color w:val="000000" w:themeColor="text1"/>
                <w:kern w:val="0"/>
                <w:sz w:val="28"/>
                <w:szCs w:val="28"/>
                <w:lang w:val="en-US" w:eastAsia="zh-CN"/>
                <w14:textFill>
                  <w14:solidFill>
                    <w14:schemeClr w14:val="tx1"/>
                  </w14:solidFill>
                </w14:textFill>
              </w:rPr>
              <w:t>（1）提升科学研究。实现学科科研经费保持较快增长速度，师均年科研经费争取达到1.5万元。代表性学术论文10-15篇，学术专著（教材）1-2部；重要科研项目（纵向与横向）8-10项；具有影响力的咨询报告、专利、案例研发等在内的应用成果达到20项（篇）；省部级及以上重要教学科研奖2-3项。</w:t>
            </w:r>
          </w:p>
          <w:p>
            <w:pPr>
              <w:spacing w:line="400" w:lineRule="exact"/>
              <w:ind w:firstLine="560" w:firstLineChars="200"/>
              <w:textAlignment w:val="baseline"/>
              <w:rPr>
                <w:rStyle w:val="18"/>
                <w:rFonts w:hint="eastAsia" w:ascii="仿宋_GB2312" w:hAnsi="仿宋_GB2312" w:eastAsia="仿宋_GB2312"/>
                <w:color w:val="000000" w:themeColor="text1"/>
                <w:kern w:val="0"/>
                <w:sz w:val="28"/>
                <w:szCs w:val="28"/>
                <w:lang w:val="en-US" w:eastAsia="zh-CN"/>
                <w14:textFill>
                  <w14:solidFill>
                    <w14:schemeClr w14:val="tx1"/>
                  </w14:solidFill>
                </w14:textFill>
              </w:rPr>
            </w:pPr>
            <w:r>
              <w:rPr>
                <w:rStyle w:val="18"/>
                <w:rFonts w:hint="eastAsia" w:ascii="仿宋_GB2312" w:hAnsi="仿宋_GB2312" w:eastAsia="仿宋_GB2312"/>
                <w:color w:val="000000" w:themeColor="text1"/>
                <w:kern w:val="0"/>
                <w:sz w:val="28"/>
                <w:szCs w:val="28"/>
                <w:lang w:val="en-US" w:eastAsia="zh-CN"/>
                <w14:textFill>
                  <w14:solidFill>
                    <w14:schemeClr w14:val="tx1"/>
                  </w14:solidFill>
                </w14:textFill>
              </w:rPr>
              <w:t>（2）注重学术交流。</w:t>
            </w:r>
            <w:r>
              <w:rPr>
                <w:rStyle w:val="18"/>
                <w:rFonts w:hint="default" w:ascii="仿宋_GB2312" w:hAnsi="仿宋_GB2312" w:eastAsia="仿宋_GB2312"/>
                <w:color w:val="000000" w:themeColor="text1"/>
                <w:kern w:val="0"/>
                <w:sz w:val="28"/>
                <w:szCs w:val="28"/>
                <w:lang w:val="en-US" w:eastAsia="zh-CN"/>
                <w14:textFill>
                  <w14:solidFill>
                    <w14:schemeClr w14:val="tx1"/>
                  </w14:solidFill>
                </w14:textFill>
              </w:rPr>
              <w:t>面向国家经济金融主战场和上海地方重大战略需求，布局学科平台基地，实施“智库创新计划”，加强智库平台建设</w:t>
            </w:r>
            <w:r>
              <w:rPr>
                <w:rStyle w:val="18"/>
                <w:rFonts w:hint="eastAsia" w:ascii="仿宋_GB2312" w:hAnsi="仿宋_GB2312" w:eastAsia="仿宋_GB2312"/>
                <w:color w:val="000000" w:themeColor="text1"/>
                <w:kern w:val="0"/>
                <w:sz w:val="28"/>
                <w:szCs w:val="28"/>
                <w:lang w:val="en-US" w:eastAsia="zh-CN"/>
                <w14:textFill>
                  <w14:solidFill>
                    <w14:schemeClr w14:val="tx1"/>
                  </w14:solidFill>
                </w14:textFill>
              </w:rPr>
              <w:t>，在</w:t>
            </w:r>
            <w:r>
              <w:rPr>
                <w:rStyle w:val="18"/>
                <w:rFonts w:hint="default" w:ascii="仿宋_GB2312" w:hAnsi="仿宋_GB2312" w:eastAsia="仿宋_GB2312"/>
                <w:color w:val="000000" w:themeColor="text1"/>
                <w:kern w:val="0"/>
                <w:sz w:val="28"/>
                <w:szCs w:val="28"/>
                <w:lang w:val="en-US" w:eastAsia="zh-CN"/>
                <w14:textFill>
                  <w14:solidFill>
                    <w14:schemeClr w14:val="tx1"/>
                  </w14:solidFill>
                </w14:textFill>
              </w:rPr>
              <w:t>金融科技应用</w:t>
            </w:r>
            <w:r>
              <w:rPr>
                <w:rStyle w:val="18"/>
                <w:rFonts w:hint="eastAsia" w:ascii="仿宋_GB2312" w:hAnsi="仿宋_GB2312" w:eastAsia="仿宋_GB2312"/>
                <w:color w:val="000000" w:themeColor="text1"/>
                <w:kern w:val="0"/>
                <w:sz w:val="28"/>
                <w:szCs w:val="28"/>
                <w:lang w:val="en-US" w:eastAsia="zh-CN"/>
                <w14:textFill>
                  <w14:solidFill>
                    <w14:schemeClr w14:val="tx1"/>
                  </w14:solidFill>
                </w14:textFill>
              </w:rPr>
              <w:t>、</w:t>
            </w:r>
            <w:r>
              <w:rPr>
                <w:rStyle w:val="18"/>
                <w:rFonts w:hint="default" w:ascii="仿宋_GB2312" w:hAnsi="仿宋_GB2312" w:eastAsia="仿宋_GB2312"/>
                <w:color w:val="000000" w:themeColor="text1"/>
                <w:kern w:val="0"/>
                <w:sz w:val="28"/>
                <w:szCs w:val="28"/>
                <w:lang w:val="en-US" w:eastAsia="zh-CN"/>
                <w14:textFill>
                  <w14:solidFill>
                    <w14:schemeClr w14:val="tx1"/>
                  </w14:solidFill>
                </w14:textFill>
              </w:rPr>
              <w:t>绿色金融发展</w:t>
            </w:r>
            <w:r>
              <w:rPr>
                <w:rStyle w:val="18"/>
                <w:rFonts w:hint="eastAsia" w:ascii="仿宋_GB2312" w:hAnsi="仿宋_GB2312" w:eastAsia="仿宋_GB2312"/>
                <w:color w:val="000000" w:themeColor="text1"/>
                <w:kern w:val="0"/>
                <w:sz w:val="28"/>
                <w:szCs w:val="28"/>
                <w:lang w:val="en-US" w:eastAsia="zh-CN"/>
                <w14:textFill>
                  <w14:solidFill>
                    <w14:schemeClr w14:val="tx1"/>
                  </w14:solidFill>
                </w14:textFill>
              </w:rPr>
              <w:t>等行业前沿领域，为</w:t>
            </w:r>
            <w:r>
              <w:rPr>
                <w:rStyle w:val="18"/>
                <w:rFonts w:hint="default" w:ascii="仿宋_GB2312" w:hAnsi="仿宋_GB2312" w:eastAsia="仿宋_GB2312"/>
                <w:color w:val="000000" w:themeColor="text1"/>
                <w:kern w:val="0"/>
                <w:sz w:val="28"/>
                <w:szCs w:val="28"/>
                <w:lang w:val="en-US" w:eastAsia="zh-CN"/>
                <w14:textFill>
                  <w14:solidFill>
                    <w14:schemeClr w14:val="tx1"/>
                  </w14:solidFill>
                </w14:textFill>
              </w:rPr>
              <w:t>上海</w:t>
            </w:r>
            <w:r>
              <w:rPr>
                <w:rStyle w:val="18"/>
                <w:rFonts w:hint="eastAsia" w:ascii="仿宋_GB2312" w:hAnsi="仿宋_GB2312" w:eastAsia="仿宋_GB2312"/>
                <w:color w:val="000000" w:themeColor="text1"/>
                <w:kern w:val="0"/>
                <w:sz w:val="28"/>
                <w:szCs w:val="28"/>
                <w:lang w:val="en-US" w:eastAsia="zh-CN"/>
                <w14:textFill>
                  <w14:solidFill>
                    <w14:schemeClr w14:val="tx1"/>
                  </w14:solidFill>
                </w14:textFill>
              </w:rPr>
              <w:t>全球城市建设提供具有一定影响力的决策咨询</w:t>
            </w:r>
            <w:r>
              <w:rPr>
                <w:rStyle w:val="18"/>
                <w:rFonts w:hint="default" w:ascii="仿宋_GB2312" w:hAnsi="仿宋_GB2312" w:eastAsia="仿宋_GB2312"/>
                <w:color w:val="000000" w:themeColor="text1"/>
                <w:kern w:val="0"/>
                <w:sz w:val="28"/>
                <w:szCs w:val="28"/>
                <w:lang w:val="en-US" w:eastAsia="zh-CN"/>
                <w14:textFill>
                  <w14:solidFill>
                    <w14:schemeClr w14:val="tx1"/>
                  </w14:solidFill>
                </w14:textFill>
              </w:rPr>
              <w:t>。鼓励教师每年内至少参加</w:t>
            </w:r>
            <w:r>
              <w:rPr>
                <w:rStyle w:val="18"/>
                <w:rFonts w:hint="eastAsia" w:ascii="仿宋_GB2312" w:hAnsi="仿宋_GB2312" w:eastAsia="仿宋_GB2312"/>
                <w:color w:val="000000" w:themeColor="text1"/>
                <w:kern w:val="0"/>
                <w:sz w:val="28"/>
                <w:szCs w:val="28"/>
                <w:lang w:val="en-US" w:eastAsia="zh-CN"/>
                <w14:textFill>
                  <w14:solidFill>
                    <w14:schemeClr w14:val="tx1"/>
                  </w14:solidFill>
                </w14:textFill>
              </w:rPr>
              <w:t>3</w:t>
            </w:r>
            <w:r>
              <w:rPr>
                <w:rStyle w:val="18"/>
                <w:rFonts w:hint="default" w:ascii="仿宋_GB2312" w:hAnsi="仿宋_GB2312" w:eastAsia="仿宋_GB2312"/>
                <w:color w:val="000000" w:themeColor="text1"/>
                <w:kern w:val="0"/>
                <w:sz w:val="28"/>
                <w:szCs w:val="28"/>
                <w:lang w:val="en-US" w:eastAsia="zh-CN"/>
                <w14:textFill>
                  <w14:solidFill>
                    <w14:schemeClr w14:val="tx1"/>
                  </w14:solidFill>
                </w14:textFill>
              </w:rPr>
              <w:t>次学科内具有影响力的国内外学术交流会议；每年</w:t>
            </w:r>
            <w:r>
              <w:rPr>
                <w:rStyle w:val="18"/>
                <w:rFonts w:hint="eastAsia" w:ascii="仿宋_GB2312" w:hAnsi="仿宋_GB2312" w:eastAsia="仿宋_GB2312"/>
                <w:color w:val="000000" w:themeColor="text1"/>
                <w:kern w:val="0"/>
                <w:sz w:val="28"/>
                <w:szCs w:val="28"/>
                <w:lang w:val="en-US" w:eastAsia="zh-CN"/>
                <w14:textFill>
                  <w14:solidFill>
                    <w14:schemeClr w14:val="tx1"/>
                  </w14:solidFill>
                </w14:textFill>
              </w:rPr>
              <w:t>主</w:t>
            </w:r>
            <w:r>
              <w:rPr>
                <w:rStyle w:val="18"/>
                <w:rFonts w:hint="default" w:ascii="仿宋_GB2312" w:hAnsi="仿宋_GB2312" w:eastAsia="仿宋_GB2312"/>
                <w:color w:val="000000" w:themeColor="text1"/>
                <w:kern w:val="0"/>
                <w:sz w:val="28"/>
                <w:szCs w:val="28"/>
                <w:lang w:val="en-US" w:eastAsia="zh-CN"/>
                <w14:textFill>
                  <w14:solidFill>
                    <w14:schemeClr w14:val="tx1"/>
                  </w14:solidFill>
                </w14:textFill>
              </w:rPr>
              <w:t>办1次学科内的学术研讨会</w:t>
            </w:r>
            <w:r>
              <w:rPr>
                <w:rStyle w:val="18"/>
                <w:rFonts w:hint="eastAsia" w:ascii="仿宋_GB2312" w:hAnsi="仿宋_GB2312" w:eastAsia="仿宋_GB2312"/>
                <w:color w:val="000000" w:themeColor="text1"/>
                <w:kern w:val="0"/>
                <w:sz w:val="28"/>
                <w:szCs w:val="28"/>
                <w:lang w:val="en-US" w:eastAsia="zh-CN"/>
                <w14:textFill>
                  <w14:solidFill>
                    <w14:schemeClr w14:val="tx1"/>
                  </w14:solidFill>
                </w14:textFill>
              </w:rPr>
              <w:t>（论坛）</w:t>
            </w:r>
            <w:r>
              <w:rPr>
                <w:rStyle w:val="18"/>
                <w:rFonts w:hint="default" w:ascii="仿宋_GB2312" w:hAnsi="仿宋_GB2312" w:eastAsia="仿宋_GB2312"/>
                <w:color w:val="000000" w:themeColor="text1"/>
                <w:kern w:val="0"/>
                <w:sz w:val="28"/>
                <w:szCs w:val="28"/>
                <w:lang w:val="en-US" w:eastAsia="zh-CN"/>
                <w14:textFill>
                  <w14:solidFill>
                    <w14:schemeClr w14:val="tx1"/>
                  </w14:solidFill>
                </w14:textFill>
              </w:rPr>
              <w:t>；</w:t>
            </w:r>
            <w:r>
              <w:rPr>
                <w:rStyle w:val="18"/>
                <w:rFonts w:hint="eastAsia" w:ascii="仿宋_GB2312" w:hAnsi="仿宋_GB2312" w:eastAsia="仿宋_GB2312"/>
                <w:color w:val="000000" w:themeColor="text1"/>
                <w:kern w:val="0"/>
                <w:sz w:val="28"/>
                <w:szCs w:val="28"/>
                <w:lang w:val="en-US" w:eastAsia="zh-CN"/>
                <w14:textFill>
                  <w14:solidFill>
                    <w14:schemeClr w14:val="tx1"/>
                  </w14:solidFill>
                </w14:textFill>
              </w:rPr>
              <w:t>开设“金融讲堂”，</w:t>
            </w:r>
            <w:r>
              <w:rPr>
                <w:rStyle w:val="18"/>
                <w:rFonts w:hint="default" w:ascii="仿宋_GB2312" w:hAnsi="仿宋_GB2312" w:eastAsia="仿宋_GB2312"/>
                <w:color w:val="000000" w:themeColor="text1"/>
                <w:kern w:val="0"/>
                <w:sz w:val="28"/>
                <w:szCs w:val="28"/>
                <w:lang w:val="en-US" w:eastAsia="zh-CN"/>
                <w14:textFill>
                  <w14:solidFill>
                    <w14:schemeClr w14:val="tx1"/>
                  </w14:solidFill>
                </w14:textFill>
              </w:rPr>
              <w:t>每年至少邀请3名国内外知名学者来校开展学术讲座。</w:t>
            </w:r>
          </w:p>
          <w:p>
            <w:pPr>
              <w:spacing w:line="400" w:lineRule="exact"/>
              <w:ind w:firstLine="560" w:firstLineChars="200"/>
              <w:textAlignment w:val="baseline"/>
              <w:rPr>
                <w:rStyle w:val="18"/>
                <w:rFonts w:hint="eastAsia" w:ascii="仿宋_GB2312" w:hAnsi="仿宋_GB2312" w:eastAsia="仿宋_GB2312"/>
                <w:color w:val="000000"/>
                <w:kern w:val="0"/>
                <w:sz w:val="28"/>
                <w:szCs w:val="28"/>
                <w:lang w:val="en-US" w:eastAsia="zh-CN"/>
              </w:rPr>
            </w:pPr>
            <w:r>
              <w:rPr>
                <w:rStyle w:val="18"/>
                <w:rFonts w:hint="eastAsia" w:ascii="仿宋_GB2312" w:hAnsi="仿宋_GB2312" w:eastAsia="仿宋_GB2312"/>
                <w:color w:val="000000" w:themeColor="text1"/>
                <w:kern w:val="0"/>
                <w:sz w:val="28"/>
                <w:szCs w:val="28"/>
                <w:lang w:val="en-US" w:eastAsia="zh-CN"/>
                <w14:textFill>
                  <w14:solidFill>
                    <w14:schemeClr w14:val="tx1"/>
                  </w14:solidFill>
                </w14:textFill>
              </w:rPr>
              <w:t>（3）优化支撑条件。一是建设一支数量充足、实践经验丰富、长期稳定的金融行业教师队伍，在实践基地、课程开发、教材建设、毕业论文指导等方面，实现“产教融合”。二是学科团队、校内实验室、行业实习实践基地、研究中心等形成合力，以提供金融专业硕士学位教育优质的师资队伍、课程体系、文献资料和实践实习条件。</w:t>
            </w:r>
          </w:p>
          <w:p>
            <w:pPr>
              <w:spacing w:line="400" w:lineRule="exact"/>
              <w:rPr>
                <w:rFonts w:hint="eastAsia" w:ascii="仿宋_GB2312" w:hAnsi="仿宋_GB2312" w:eastAsia="仿宋_GB2312" w:cs="仿宋_GB2312"/>
                <w:color w:val="000000"/>
                <w:kern w:val="0"/>
                <w:sz w:val="28"/>
                <w:szCs w:val="28"/>
                <w:lang w:bidi="ar"/>
              </w:rPr>
            </w:pPr>
          </w:p>
        </w:tc>
      </w:tr>
    </w:tbl>
    <w:p>
      <w:pPr>
        <w:outlineLvl w:val="0"/>
        <w:rPr>
          <w:rFonts w:hint="eastAsia"/>
          <w:b/>
          <w:color w:val="000000"/>
          <w:sz w:val="32"/>
          <w:szCs w:val="32"/>
        </w:rPr>
        <w:sectPr>
          <w:footerReference r:id="rId11" w:type="default"/>
          <w:pgSz w:w="11906" w:h="16838"/>
          <w:pgMar w:top="1701" w:right="1588" w:bottom="1701" w:left="1588" w:header="851" w:footer="992" w:gutter="0"/>
          <w:cols w:space="720" w:num="1"/>
          <w:docGrid w:type="lines" w:linePitch="312" w:charSpace="0"/>
        </w:sectPr>
      </w:pPr>
    </w:p>
    <w:p>
      <w:pPr>
        <w:rPr>
          <w:rFonts w:ascii="黑体" w:hAnsi="黑体" w:eastAsia="黑体" w:cs="黑体"/>
          <w:bCs/>
          <w:color w:val="000000"/>
          <w:sz w:val="30"/>
          <w:szCs w:val="30"/>
        </w:rPr>
      </w:pPr>
      <w:r>
        <w:rPr>
          <w:rFonts w:hint="eastAsia" w:ascii="黑体" w:hAnsi="黑体" w:eastAsia="黑体" w:cs="黑体"/>
          <w:bCs/>
          <w:color w:val="000000"/>
          <w:sz w:val="30"/>
          <w:szCs w:val="30"/>
        </w:rPr>
        <w:t>六、拟建设学位点（学位点名称：  艺术</w:t>
      </w:r>
      <w:r>
        <w:rPr>
          <w:rFonts w:hint="eastAsia" w:ascii="黑体" w:hAnsi="黑体" w:eastAsia="黑体" w:cs="黑体"/>
          <w:bCs/>
          <w:color w:val="000000"/>
          <w:sz w:val="30"/>
          <w:szCs w:val="30"/>
          <w:lang w:val="en-US" w:eastAsia="zh-CN"/>
        </w:rPr>
        <w:t>专业</w:t>
      </w:r>
      <w:r>
        <w:rPr>
          <w:rFonts w:hint="eastAsia" w:ascii="黑体" w:hAnsi="黑体" w:eastAsia="黑体" w:cs="黑体"/>
          <w:bCs/>
          <w:color w:val="000000"/>
          <w:sz w:val="30"/>
          <w:szCs w:val="30"/>
        </w:rPr>
        <w:t>硕士 ）任务与举措</w:t>
      </w:r>
    </w:p>
    <w:tbl>
      <w:tblPr>
        <w:tblStyle w:val="9"/>
        <w:tblW w:w="871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4" w:hRule="atLeast"/>
          <w:jc w:val="center"/>
        </w:trPr>
        <w:tc>
          <w:tcPr>
            <w:tcW w:w="8711" w:type="dxa"/>
            <w:noWrap w:val="0"/>
            <w:vAlign w:val="top"/>
          </w:tcPr>
          <w:p>
            <w:pPr>
              <w:widowControl/>
              <w:jc w:val="left"/>
              <w:rPr>
                <w:rFonts w:ascii="仿宋_GB2312" w:hAnsi="仿宋_GB2312" w:eastAsia="仿宋_GB2312" w:cs="仿宋_GB2312"/>
                <w:color w:val="000000"/>
                <w:kern w:val="0"/>
                <w:sz w:val="28"/>
                <w:szCs w:val="28"/>
                <w:lang w:bidi="ar"/>
              </w:rPr>
            </w:pPr>
            <w:r>
              <w:rPr>
                <w:rFonts w:hint="eastAsia" w:ascii="仿宋_GB2312" w:hAnsi="仿宋_GB2312" w:eastAsia="仿宋_GB2312" w:cs="仿宋_GB2312"/>
                <w:b/>
                <w:bCs/>
                <w:color w:val="000000"/>
                <w:kern w:val="0"/>
                <w:sz w:val="28"/>
                <w:szCs w:val="28"/>
                <w:lang w:bidi="ar"/>
              </w:rPr>
              <w:t xml:space="preserve">任务1：学科专业特色建设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86" w:hRule="atLeast"/>
          <w:jc w:val="center"/>
        </w:trPr>
        <w:tc>
          <w:tcPr>
            <w:tcW w:w="8711" w:type="dxa"/>
            <w:noWrap w:val="0"/>
            <w:vAlign w:val="top"/>
          </w:tcPr>
          <w:p>
            <w:pPr>
              <w:spacing w:line="400" w:lineRule="exact"/>
              <w:rPr>
                <w:rFonts w:hint="eastAsia" w:ascii="仿宋_GB2312" w:hAnsi="仿宋_GB2312" w:eastAsia="仿宋_GB2312" w:cs="仿宋_GB2312"/>
                <w:b/>
                <w:bCs/>
                <w:color w:val="000000"/>
                <w:kern w:val="0"/>
                <w:sz w:val="28"/>
                <w:szCs w:val="28"/>
                <w:lang w:bidi="ar"/>
              </w:rPr>
            </w:pPr>
            <w:r>
              <w:rPr>
                <w:rFonts w:hint="eastAsia" w:ascii="仿宋_GB2312" w:hAnsi="仿宋_GB2312" w:eastAsia="仿宋_GB2312" w:cs="仿宋_GB2312"/>
                <w:b/>
                <w:bCs/>
                <w:color w:val="000000"/>
                <w:kern w:val="0"/>
                <w:sz w:val="28"/>
                <w:szCs w:val="28"/>
                <w:lang w:bidi="ar"/>
              </w:rPr>
              <w:t>具体举措：</w:t>
            </w:r>
          </w:p>
          <w:tbl>
            <w:tblPr>
              <w:tblStyle w:val="9"/>
              <w:tblW w:w="871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17" w:hRule="atLeast"/>
                <w:jc w:val="center"/>
              </w:trPr>
              <w:tc>
                <w:tcPr>
                  <w:tcW w:w="8711" w:type="dxa"/>
                  <w:noWrap w:val="0"/>
                  <w:vAlign w:val="top"/>
                </w:tcPr>
                <w:p>
                  <w:pPr>
                    <w:widowControl/>
                    <w:spacing w:line="400" w:lineRule="exact"/>
                    <w:ind w:firstLine="422" w:firstLineChars="150"/>
                    <w:jc w:val="left"/>
                    <w:textAlignment w:val="center"/>
                    <w:rPr>
                      <w:rFonts w:hint="eastAsia" w:ascii="仿宋" w:hAnsi="仿宋" w:eastAsia="仿宋" w:cs="仿宋_GB2312"/>
                      <w:b w:val="0"/>
                      <w:bCs/>
                      <w:kern w:val="0"/>
                      <w:sz w:val="28"/>
                      <w:szCs w:val="28"/>
                      <w:lang w:bidi="ar"/>
                    </w:rPr>
                  </w:pPr>
                  <w:r>
                    <w:rPr>
                      <w:rFonts w:hint="eastAsia" w:ascii="仿宋" w:hAnsi="仿宋" w:eastAsia="仿宋" w:cs="仿宋_GB2312"/>
                      <w:b/>
                      <w:kern w:val="0"/>
                      <w:sz w:val="28"/>
                      <w:szCs w:val="28"/>
                      <w:lang w:bidi="ar"/>
                    </w:rPr>
                    <w:t>具体举措：</w:t>
                  </w:r>
                </w:p>
                <w:p>
                  <w:pPr>
                    <w:spacing w:line="400" w:lineRule="exact"/>
                    <w:ind w:firstLine="562" w:firstLineChars="200"/>
                    <w:rPr>
                      <w:rStyle w:val="18"/>
                      <w:rFonts w:hint="eastAsia" w:ascii="仿宋_GB2312" w:hAnsi="仿宋_GB2312" w:eastAsia="仿宋_GB2312"/>
                      <w:b/>
                      <w:bCs/>
                      <w:color w:val="000000" w:themeColor="text1"/>
                      <w:kern w:val="0"/>
                      <w:sz w:val="28"/>
                      <w:szCs w:val="28"/>
                      <w:lang w:val="en-US" w:eastAsia="zh-CN"/>
                      <w14:textFill>
                        <w14:solidFill>
                          <w14:schemeClr w14:val="tx1"/>
                        </w14:solidFill>
                      </w14:textFill>
                    </w:rPr>
                  </w:pPr>
                  <w:r>
                    <w:rPr>
                      <w:rStyle w:val="18"/>
                      <w:rFonts w:hint="eastAsia" w:ascii="仿宋_GB2312" w:hAnsi="仿宋_GB2312" w:eastAsia="仿宋_GB2312"/>
                      <w:b/>
                      <w:bCs/>
                      <w:color w:val="000000" w:themeColor="text1"/>
                      <w:kern w:val="0"/>
                      <w:sz w:val="28"/>
                      <w:szCs w:val="28"/>
                      <w:lang w:val="en-US" w:eastAsia="zh-CN"/>
                      <w14:textFill>
                        <w14:solidFill>
                          <w14:schemeClr w14:val="tx1"/>
                        </w14:solidFill>
                      </w14:textFill>
                    </w:rPr>
                    <w:t>（1）数字空间与交互设计学科专业方向特色建设</w:t>
                  </w:r>
                </w:p>
                <w:p>
                  <w:pPr>
                    <w:spacing w:line="400" w:lineRule="exact"/>
                    <w:ind w:firstLine="560" w:firstLineChars="200"/>
                    <w:rPr>
                      <w:rStyle w:val="18"/>
                      <w:rFonts w:hint="eastAsia" w:ascii="仿宋_GB2312" w:hAnsi="仿宋_GB2312" w:eastAsia="仿宋_GB2312"/>
                      <w:color w:val="000000" w:themeColor="text1"/>
                      <w:kern w:val="0"/>
                      <w:sz w:val="28"/>
                      <w:szCs w:val="28"/>
                      <w:lang w:val="en-US" w:eastAsia="zh-CN"/>
                      <w14:textFill>
                        <w14:solidFill>
                          <w14:schemeClr w14:val="tx1"/>
                        </w14:solidFill>
                      </w14:textFill>
                    </w:rPr>
                  </w:pPr>
                  <w:r>
                    <w:rPr>
                      <w:rStyle w:val="18"/>
                      <w:rFonts w:hint="eastAsia" w:ascii="仿宋_GB2312" w:hAnsi="仿宋_GB2312" w:eastAsia="仿宋_GB2312"/>
                      <w:color w:val="000000" w:themeColor="text1"/>
                      <w:kern w:val="0"/>
                      <w:sz w:val="28"/>
                      <w:szCs w:val="28"/>
                      <w:lang w:val="en-US" w:eastAsia="zh-CN"/>
                      <w14:textFill>
                        <w14:solidFill>
                          <w14:schemeClr w14:val="tx1"/>
                        </w14:solidFill>
                      </w14:textFill>
                    </w:rPr>
                    <w:t>艺术硕士学位点建设规划以服务国家发展战略，服务上海及长三角经济发展为目标，共同落实上海设计之都的建设,设计赋能产业创新发展，注重艺术为表达、以媒介为载体，强调科技为驱动的专业方向建设核心，形成新文科下跨学科发展、数字化发展、紧密结合产业发展的复合型、应用型特色。</w:t>
                  </w:r>
                </w:p>
                <w:p>
                  <w:pPr>
                    <w:spacing w:line="400" w:lineRule="exact"/>
                    <w:ind w:firstLine="560" w:firstLineChars="200"/>
                    <w:rPr>
                      <w:rStyle w:val="18"/>
                      <w:rFonts w:hint="eastAsia" w:ascii="仿宋_GB2312" w:hAnsi="仿宋_GB2312" w:eastAsia="仿宋_GB2312"/>
                      <w:color w:val="000000" w:themeColor="text1"/>
                      <w:kern w:val="0"/>
                      <w:sz w:val="28"/>
                      <w:szCs w:val="28"/>
                      <w:lang w:val="en-US" w:eastAsia="zh-CN"/>
                      <w14:textFill>
                        <w14:solidFill>
                          <w14:schemeClr w14:val="tx1"/>
                        </w14:solidFill>
                      </w14:textFill>
                    </w:rPr>
                  </w:pPr>
                  <w:r>
                    <w:rPr>
                      <w:rStyle w:val="18"/>
                      <w:rFonts w:hint="eastAsia" w:ascii="仿宋_GB2312" w:hAnsi="仿宋_GB2312" w:eastAsia="仿宋_GB2312"/>
                      <w:color w:val="000000" w:themeColor="text1"/>
                      <w:kern w:val="0"/>
                      <w:sz w:val="28"/>
                      <w:szCs w:val="28"/>
                      <w:lang w:val="en-US" w:eastAsia="zh-CN"/>
                      <w14:textFill>
                        <w14:solidFill>
                          <w14:schemeClr w14:val="tx1"/>
                        </w14:solidFill>
                      </w14:textFill>
                    </w:rPr>
                    <w:t>数字空间与交互设计学科专业方向注重“艺术+科技”，紧跟行业发展的。旨在培养数字展陈、数字演出、信息交流与互动体验、影视动画、游戏设计与制作等数字艺术设计专业的创新型复合人才。以理论研究结合实践创作，以艺术表达结合技术应用，以人文关怀结合社会意识，突出学科交叉与融合。强化学生的审美能力与艺术素养，洞察能力与执行能力，独创能力和协作能力，使其具备良好的综合素质和开阔的行业视野。依托学校国际化教育资源与区域内行业资源，产、学、研相融合，通过“工作室制”、“项目制”等多维联动的教育教学方法，逐步确立并形成动态的、可持续、可跟踪的实践教学模式，紧跟行业发展。</w:t>
                  </w:r>
                </w:p>
                <w:p>
                  <w:pPr>
                    <w:spacing w:line="400" w:lineRule="exact"/>
                    <w:ind w:firstLine="562" w:firstLineChars="200"/>
                    <w:rPr>
                      <w:rStyle w:val="18"/>
                      <w:rFonts w:hint="eastAsia" w:ascii="仿宋_GB2312" w:hAnsi="仿宋_GB2312" w:eastAsia="仿宋_GB2312"/>
                      <w:b/>
                      <w:bCs/>
                      <w:color w:val="000000" w:themeColor="text1"/>
                      <w:kern w:val="0"/>
                      <w:sz w:val="28"/>
                      <w:szCs w:val="28"/>
                      <w:lang w:val="en-US" w:eastAsia="zh-CN"/>
                      <w14:textFill>
                        <w14:solidFill>
                          <w14:schemeClr w14:val="tx1"/>
                        </w14:solidFill>
                      </w14:textFill>
                    </w:rPr>
                  </w:pPr>
                  <w:r>
                    <w:rPr>
                      <w:rStyle w:val="18"/>
                      <w:rFonts w:hint="eastAsia" w:ascii="仿宋_GB2312" w:hAnsi="仿宋_GB2312" w:eastAsia="仿宋_GB2312"/>
                      <w:b/>
                      <w:bCs/>
                      <w:color w:val="000000" w:themeColor="text1"/>
                      <w:kern w:val="0"/>
                      <w:sz w:val="28"/>
                      <w:szCs w:val="28"/>
                      <w:lang w:val="en-US" w:eastAsia="zh-CN"/>
                      <w14:textFill>
                        <w14:solidFill>
                          <w14:schemeClr w14:val="tx1"/>
                        </w14:solidFill>
                      </w14:textFill>
                    </w:rPr>
                    <w:t>（2）环境空间与地域创新设计学科专业方向特色建设</w:t>
                  </w:r>
                </w:p>
                <w:p>
                  <w:pPr>
                    <w:spacing w:line="400" w:lineRule="exact"/>
                    <w:ind w:firstLine="560" w:firstLineChars="200"/>
                    <w:rPr>
                      <w:rStyle w:val="18"/>
                      <w:rFonts w:hint="eastAsia" w:ascii="仿宋_GB2312" w:hAnsi="仿宋_GB2312" w:eastAsia="仿宋_GB2312"/>
                      <w:color w:val="000000" w:themeColor="text1"/>
                      <w:kern w:val="0"/>
                      <w:sz w:val="28"/>
                      <w:szCs w:val="28"/>
                      <w:lang w:val="en-US" w:eastAsia="zh-CN"/>
                      <w14:textFill>
                        <w14:solidFill>
                          <w14:schemeClr w14:val="tx1"/>
                        </w14:solidFill>
                      </w14:textFill>
                    </w:rPr>
                  </w:pPr>
                  <w:r>
                    <w:rPr>
                      <w:rStyle w:val="18"/>
                      <w:rFonts w:hint="eastAsia" w:ascii="仿宋_GB2312" w:hAnsi="仿宋_GB2312" w:eastAsia="仿宋_GB2312"/>
                      <w:color w:val="000000" w:themeColor="text1"/>
                      <w:kern w:val="0"/>
                      <w:sz w:val="28"/>
                      <w:szCs w:val="28"/>
                      <w:lang w:val="en-US" w:eastAsia="zh-CN"/>
                      <w14:textFill>
                        <w14:solidFill>
                          <w14:schemeClr w14:val="tx1"/>
                        </w14:solidFill>
                      </w14:textFill>
                    </w:rPr>
                    <w:t>艺术硕士学位点建设规划以落实国家方针政策，依托上海建设世界一流“设计之都”、文旅部关于“创意下乡”工作的推进等为契机，以“设计创新型城市”为目标。与其他院校错位发展，依靠区域优势，设计赋能打造活力城市空间，点亮市民美好生活；发展在地服务与地域创新，通过乡村振兴、文化赋能崇明，凝练崇明文化、非遗文化与当下创新设计智慧，立足传承创新，使崇明建设成为具有全球引领示范作用的世界级生态岛。</w:t>
                  </w:r>
                </w:p>
                <w:p>
                  <w:pPr>
                    <w:spacing w:line="400" w:lineRule="exact"/>
                    <w:ind w:firstLine="560" w:firstLineChars="200"/>
                    <w:rPr>
                      <w:rStyle w:val="18"/>
                      <w:rFonts w:hint="eastAsia" w:ascii="仿宋_GB2312" w:hAnsi="仿宋_GB2312" w:eastAsia="仿宋_GB2312"/>
                      <w:color w:val="000000" w:themeColor="text1"/>
                      <w:kern w:val="0"/>
                      <w:sz w:val="28"/>
                      <w:szCs w:val="28"/>
                      <w:lang w:val="en-US" w:eastAsia="zh-CN"/>
                      <w14:textFill>
                        <w14:solidFill>
                          <w14:schemeClr w14:val="tx1"/>
                        </w14:solidFill>
                      </w14:textFill>
                    </w:rPr>
                  </w:pPr>
                  <w:r>
                    <w:rPr>
                      <w:rStyle w:val="18"/>
                      <w:rFonts w:hint="eastAsia" w:ascii="仿宋_GB2312" w:hAnsi="仿宋_GB2312" w:eastAsia="仿宋_GB2312"/>
                      <w:color w:val="000000" w:themeColor="text1"/>
                      <w:kern w:val="0"/>
                      <w:sz w:val="28"/>
                      <w:szCs w:val="28"/>
                      <w:lang w:val="en-US" w:eastAsia="zh-CN"/>
                      <w14:textFill>
                        <w14:solidFill>
                          <w14:schemeClr w14:val="tx1"/>
                        </w14:solidFill>
                      </w14:textFill>
                    </w:rPr>
                    <w:t>环境空间与地域创新设计学科专业方向围绕满足人民日益增长的美好生活为出发点，着眼于设计服务国家战略为基本需求，聚焦城市环境更新设计和乡村地域创新设计。培养全面理解与掌握环境设计领域的相关知识、技能和方法，既具有扎实的理论基础，又具有宽广的专业知识、敏捷的创意思维能力、熟练的设计表现技能；具有综合运用空间与景观设计方法及方法论原理，培养学生在本研究领域内具有创造力、感知力、表现力，具备和达到从事研究开发和解决实际问题的能力和要求。</w:t>
                  </w:r>
                </w:p>
                <w:p>
                  <w:pPr>
                    <w:spacing w:line="400" w:lineRule="exact"/>
                    <w:ind w:firstLine="562" w:firstLineChars="200"/>
                    <w:rPr>
                      <w:rStyle w:val="18"/>
                      <w:rFonts w:hint="eastAsia" w:ascii="仿宋_GB2312" w:hAnsi="仿宋_GB2312" w:eastAsia="仿宋_GB2312"/>
                      <w:b/>
                      <w:bCs/>
                      <w:color w:val="000000" w:themeColor="text1"/>
                      <w:kern w:val="0"/>
                      <w:sz w:val="28"/>
                      <w:szCs w:val="28"/>
                      <w:lang w:val="en-US" w:eastAsia="zh-CN"/>
                      <w14:textFill>
                        <w14:solidFill>
                          <w14:schemeClr w14:val="tx1"/>
                        </w14:solidFill>
                      </w14:textFill>
                    </w:rPr>
                  </w:pPr>
                  <w:r>
                    <w:rPr>
                      <w:rStyle w:val="18"/>
                      <w:rFonts w:hint="eastAsia" w:ascii="仿宋_GB2312" w:hAnsi="仿宋_GB2312" w:eastAsia="仿宋_GB2312"/>
                      <w:b/>
                      <w:bCs/>
                      <w:color w:val="000000" w:themeColor="text1"/>
                      <w:kern w:val="0"/>
                      <w:sz w:val="28"/>
                      <w:szCs w:val="28"/>
                      <w:lang w:val="en-US" w:eastAsia="zh-CN"/>
                      <w14:textFill>
                        <w14:solidFill>
                          <w14:schemeClr w14:val="tx1"/>
                        </w14:solidFill>
                      </w14:textFill>
                    </w:rPr>
                    <w:t>（3）品牌形象与视觉传达设计学科专业方向特色建设</w:t>
                  </w:r>
                </w:p>
                <w:p>
                  <w:pPr>
                    <w:spacing w:line="400" w:lineRule="exact"/>
                    <w:ind w:firstLine="560" w:firstLineChars="200"/>
                    <w:rPr>
                      <w:rStyle w:val="18"/>
                      <w:rFonts w:hint="eastAsia" w:ascii="仿宋_GB2312" w:hAnsi="仿宋_GB2312" w:eastAsia="仿宋_GB2312"/>
                      <w:color w:val="000000" w:themeColor="text1"/>
                      <w:kern w:val="0"/>
                      <w:sz w:val="28"/>
                      <w:szCs w:val="28"/>
                      <w:lang w:val="en-US" w:eastAsia="zh-CN"/>
                      <w14:textFill>
                        <w14:solidFill>
                          <w14:schemeClr w14:val="tx1"/>
                        </w14:solidFill>
                      </w14:textFill>
                    </w:rPr>
                  </w:pPr>
                  <w:r>
                    <w:rPr>
                      <w:rStyle w:val="18"/>
                      <w:rFonts w:hint="eastAsia" w:ascii="仿宋_GB2312" w:hAnsi="仿宋_GB2312" w:eastAsia="仿宋_GB2312"/>
                      <w:color w:val="000000" w:themeColor="text1"/>
                      <w:kern w:val="0"/>
                      <w:sz w:val="28"/>
                      <w:szCs w:val="28"/>
                      <w:lang w:val="en-US" w:eastAsia="zh-CN"/>
                      <w14:textFill>
                        <w14:solidFill>
                          <w14:schemeClr w14:val="tx1"/>
                        </w14:solidFill>
                      </w14:textFill>
                    </w:rPr>
                    <w:t>艺术硕士学位点建设规划根据教育部和文旅部提出关于高质量人才培养的精神以及上海文创“50条”的提出，设计赋能铸造上海城市品牌；秉承上外贤达艺术与传媒学院“前沿行业需求主导、对接新业态发展”理念，培养新型人才。</w:t>
                  </w:r>
                </w:p>
                <w:p>
                  <w:pPr>
                    <w:spacing w:line="400" w:lineRule="exact"/>
                    <w:ind w:firstLine="560" w:firstLineChars="200"/>
                    <w:rPr>
                      <w:rStyle w:val="18"/>
                      <w:rFonts w:hint="eastAsia" w:ascii="仿宋_GB2312" w:hAnsi="仿宋_GB2312" w:eastAsia="仿宋_GB2312"/>
                      <w:color w:val="000000" w:themeColor="text1"/>
                      <w:kern w:val="0"/>
                      <w:sz w:val="28"/>
                      <w:szCs w:val="28"/>
                      <w:lang w:val="en-US" w:eastAsia="zh-CN"/>
                      <w14:textFill>
                        <w14:solidFill>
                          <w14:schemeClr w14:val="tx1"/>
                        </w14:solidFill>
                      </w14:textFill>
                    </w:rPr>
                  </w:pPr>
                  <w:r>
                    <w:rPr>
                      <w:rStyle w:val="18"/>
                      <w:rFonts w:hint="eastAsia" w:ascii="仿宋_GB2312" w:hAnsi="仿宋_GB2312" w:eastAsia="仿宋_GB2312"/>
                      <w:color w:val="000000" w:themeColor="text1"/>
                      <w:kern w:val="0"/>
                      <w:sz w:val="28"/>
                      <w:szCs w:val="28"/>
                      <w:lang w:val="en-US" w:eastAsia="zh-CN"/>
                      <w14:textFill>
                        <w14:solidFill>
                          <w14:schemeClr w14:val="tx1"/>
                        </w14:solidFill>
                      </w14:textFill>
                    </w:rPr>
                    <w:t>品牌形象与视觉传达设计学科专业方向对接文创产业、广告行业与品牌传播需求，以“品牌洞察、社会感知、科艺融合、视觉创新”为专业核心，培养学生掌握专业理论基础、人文和艺术修养、先进的设计观念及设计实践能力；以互动式教学为主，突出田野调查和社会实践，通过理论与实践课程结合的教学模式，使学生在实践上具备较高的集体创作与团队协作能力。</w:t>
                  </w:r>
                </w:p>
                <w:p>
                  <w:pPr>
                    <w:spacing w:line="400" w:lineRule="exact"/>
                    <w:ind w:firstLine="560" w:firstLineChars="200"/>
                    <w:rPr>
                      <w:rFonts w:hint="eastAsia" w:ascii="仿宋" w:hAnsi="仿宋" w:eastAsia="仿宋" w:cs="Times New Roman"/>
                      <w:sz w:val="28"/>
                      <w:szCs w:val="28"/>
                    </w:rPr>
                  </w:pPr>
                  <w:r>
                    <w:rPr>
                      <w:rStyle w:val="18"/>
                      <w:rFonts w:hint="eastAsia" w:ascii="仿宋_GB2312" w:hAnsi="仿宋_GB2312" w:eastAsia="仿宋_GB2312"/>
                      <w:color w:val="000000" w:themeColor="text1"/>
                      <w:kern w:val="0"/>
                      <w:sz w:val="28"/>
                      <w:szCs w:val="28"/>
                      <w:lang w:val="en-US" w:eastAsia="zh-CN"/>
                      <w14:textFill>
                        <w14:solidFill>
                          <w14:schemeClr w14:val="tx1"/>
                        </w14:solidFill>
                      </w14:textFill>
                    </w:rPr>
                    <w:t>艺术硕士学位点建设立足崇明，深挖在地资源，依托“文教联盟”、“国艺再造”等平台和行业资源，产学研融合，出特色，创品牌。</w:t>
                  </w:r>
                </w:p>
              </w:tc>
            </w:tr>
          </w:tbl>
          <w:p>
            <w:pPr>
              <w:spacing w:line="400" w:lineRule="exact"/>
              <w:ind w:firstLine="560" w:firstLineChars="200"/>
              <w:textAlignment w:val="baseline"/>
              <w:rPr>
                <w:rFonts w:hint="eastAsia" w:ascii="仿宋_GB2312" w:hAnsi="仿宋_GB2312" w:eastAsia="仿宋_GB2312" w:cs="仿宋_GB2312"/>
                <w:color w:val="000000"/>
                <w:kern w:val="0"/>
                <w:sz w:val="28"/>
                <w:szCs w:val="28"/>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4" w:hRule="atLeast"/>
          <w:jc w:val="center"/>
        </w:trPr>
        <w:tc>
          <w:tcPr>
            <w:tcW w:w="8711" w:type="dxa"/>
            <w:noWrap w:val="0"/>
            <w:vAlign w:val="top"/>
          </w:tcPr>
          <w:p>
            <w:pPr>
              <w:widowControl/>
              <w:jc w:val="left"/>
              <w:rPr>
                <w:rFonts w:ascii="仿宋_GB2312" w:hAnsi="仿宋_GB2312" w:eastAsia="仿宋_GB2312" w:cs="仿宋_GB2312"/>
                <w:color w:val="000000"/>
                <w:kern w:val="0"/>
                <w:sz w:val="28"/>
                <w:szCs w:val="28"/>
                <w:lang w:bidi="ar"/>
              </w:rPr>
            </w:pPr>
            <w:r>
              <w:rPr>
                <w:rFonts w:hint="eastAsia" w:ascii="仿宋_GB2312" w:hAnsi="仿宋_GB2312" w:eastAsia="仿宋_GB2312" w:cs="仿宋_GB2312"/>
                <w:b/>
                <w:bCs/>
                <w:color w:val="000000"/>
                <w:kern w:val="0"/>
                <w:sz w:val="28"/>
                <w:szCs w:val="28"/>
                <w:lang w:bidi="ar"/>
              </w:rPr>
              <w:t>任务2：师资队伍建设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2" w:hRule="atLeast"/>
          <w:jc w:val="center"/>
        </w:trPr>
        <w:tc>
          <w:tcPr>
            <w:tcW w:w="8711" w:type="dxa"/>
            <w:noWrap w:val="0"/>
            <w:vAlign w:val="top"/>
          </w:tcPr>
          <w:tbl>
            <w:tblPr>
              <w:tblStyle w:val="9"/>
              <w:tblW w:w="871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9" w:hRule="atLeast"/>
                <w:jc w:val="center"/>
              </w:trPr>
              <w:tc>
                <w:tcPr>
                  <w:tcW w:w="8711" w:type="dxa"/>
                  <w:noWrap w:val="0"/>
                  <w:vAlign w:val="top"/>
                </w:tcPr>
                <w:p>
                  <w:pPr>
                    <w:spacing w:line="400" w:lineRule="exact"/>
                    <w:ind w:firstLine="562" w:firstLineChars="200"/>
                    <w:rPr>
                      <w:rFonts w:hint="eastAsia" w:ascii="仿宋" w:hAnsi="仿宋" w:eastAsia="仿宋" w:cs="仿宋_GB2312"/>
                      <w:b/>
                      <w:kern w:val="0"/>
                      <w:sz w:val="28"/>
                      <w:szCs w:val="28"/>
                      <w:lang w:bidi="ar"/>
                    </w:rPr>
                  </w:pPr>
                  <w:r>
                    <w:rPr>
                      <w:rFonts w:hint="eastAsia" w:ascii="仿宋" w:hAnsi="仿宋" w:eastAsia="仿宋" w:cs="仿宋_GB2312"/>
                      <w:b/>
                      <w:kern w:val="0"/>
                      <w:sz w:val="28"/>
                      <w:szCs w:val="28"/>
                      <w:lang w:bidi="ar"/>
                    </w:rPr>
                    <w:t>具体举措：</w:t>
                  </w:r>
                </w:p>
                <w:p>
                  <w:pPr>
                    <w:spacing w:line="400" w:lineRule="exact"/>
                    <w:ind w:firstLine="560" w:firstLineChars="200"/>
                    <w:rPr>
                      <w:rStyle w:val="18"/>
                      <w:rFonts w:hint="eastAsia" w:ascii="仿宋_GB2312" w:hAnsi="仿宋_GB2312" w:eastAsia="仿宋_GB2312"/>
                      <w:color w:val="000000" w:themeColor="text1"/>
                      <w:kern w:val="0"/>
                      <w:sz w:val="28"/>
                      <w:szCs w:val="28"/>
                      <w:lang w:val="en-US" w:eastAsia="zh-CN"/>
                      <w14:textFill>
                        <w14:solidFill>
                          <w14:schemeClr w14:val="tx1"/>
                        </w14:solidFill>
                      </w14:textFill>
                    </w:rPr>
                  </w:pPr>
                  <w:r>
                    <w:rPr>
                      <w:rStyle w:val="18"/>
                      <w:rFonts w:hint="eastAsia" w:ascii="仿宋_GB2312" w:hAnsi="仿宋_GB2312" w:eastAsia="仿宋_GB2312"/>
                      <w:color w:val="000000" w:themeColor="text1"/>
                      <w:kern w:val="0"/>
                      <w:sz w:val="28"/>
                      <w:szCs w:val="28"/>
                      <w:lang w:val="en-US" w:eastAsia="zh-CN"/>
                      <w14:textFill>
                        <w14:solidFill>
                          <w14:schemeClr w14:val="tx1"/>
                        </w14:solidFill>
                      </w14:textFill>
                    </w:rPr>
                    <w:t>以外引内培方式，逐步建立稳定的高水平“双师型”师资队伍，围绕“数字空间与交互设计、环境空间与地域创新设计、品牌形象与视觉传达设计”三个学科专业方向培养三个教师梯队，制定青年教师的成长机制，优化骨干教师的培养，完成导师团队的代表性成果(专业论文、专业著作与教材、科研项目、设计成果转化、设计作品获奖成果等)的积累。</w:t>
                  </w:r>
                </w:p>
                <w:p>
                  <w:pPr>
                    <w:spacing w:line="400" w:lineRule="exact"/>
                    <w:ind w:firstLine="562" w:firstLineChars="200"/>
                    <w:rPr>
                      <w:rStyle w:val="18"/>
                      <w:rFonts w:hint="eastAsia" w:ascii="仿宋_GB2312" w:hAnsi="仿宋_GB2312" w:eastAsia="仿宋_GB2312"/>
                      <w:color w:val="000000" w:themeColor="text1"/>
                      <w:kern w:val="0"/>
                      <w:sz w:val="28"/>
                      <w:szCs w:val="28"/>
                      <w:lang w:val="en-US" w:eastAsia="zh-CN"/>
                      <w14:textFill>
                        <w14:solidFill>
                          <w14:schemeClr w14:val="tx1"/>
                        </w14:solidFill>
                      </w14:textFill>
                    </w:rPr>
                  </w:pPr>
                  <w:r>
                    <w:rPr>
                      <w:rStyle w:val="18"/>
                      <w:rFonts w:hint="eastAsia" w:ascii="仿宋_GB2312" w:hAnsi="仿宋_GB2312" w:eastAsia="仿宋_GB2312"/>
                      <w:b/>
                      <w:bCs/>
                      <w:color w:val="000000" w:themeColor="text1"/>
                      <w:kern w:val="0"/>
                      <w:sz w:val="28"/>
                      <w:szCs w:val="28"/>
                      <w:lang w:val="en-US" w:eastAsia="zh-CN"/>
                      <w14:textFill>
                        <w14:solidFill>
                          <w14:schemeClr w14:val="tx1"/>
                        </w14:solidFill>
                      </w14:textFill>
                    </w:rPr>
                    <w:t>（1）实施“5·3·2 团队计划”。</w:t>
                  </w:r>
                  <w:r>
                    <w:rPr>
                      <w:rStyle w:val="18"/>
                      <w:rFonts w:hint="eastAsia" w:ascii="仿宋_GB2312" w:hAnsi="仿宋_GB2312" w:eastAsia="仿宋_GB2312"/>
                      <w:color w:val="000000" w:themeColor="text1"/>
                      <w:kern w:val="0"/>
                      <w:sz w:val="28"/>
                      <w:szCs w:val="28"/>
                      <w:lang w:val="en-US" w:eastAsia="zh-CN"/>
                      <w14:textFill>
                        <w14:solidFill>
                          <w14:schemeClr w14:val="tx1"/>
                        </w14:solidFill>
                      </w14:textFill>
                    </w:rPr>
                    <w:t>采用灵活的用人机制，搭建“通识-专业-产业”的师资力量配置，优化学源结构、年龄结构、职称结构等，推行专职专任教师、特聘双师型教师、聘任企业兼职教师等，优化“跨学科团队”。</w:t>
                  </w:r>
                </w:p>
                <w:p>
                  <w:pPr>
                    <w:spacing w:line="400" w:lineRule="exact"/>
                    <w:ind w:firstLine="562" w:firstLineChars="200"/>
                    <w:rPr>
                      <w:rStyle w:val="18"/>
                      <w:rFonts w:hint="eastAsia" w:ascii="仿宋_GB2312" w:hAnsi="仿宋_GB2312" w:eastAsia="仿宋_GB2312"/>
                      <w:color w:val="000000" w:themeColor="text1"/>
                      <w:kern w:val="0"/>
                      <w:sz w:val="28"/>
                      <w:szCs w:val="28"/>
                      <w:lang w:val="en-US" w:eastAsia="zh-CN"/>
                      <w14:textFill>
                        <w14:solidFill>
                          <w14:schemeClr w14:val="tx1"/>
                        </w14:solidFill>
                      </w14:textFill>
                    </w:rPr>
                  </w:pPr>
                  <w:r>
                    <w:rPr>
                      <w:rStyle w:val="18"/>
                      <w:rFonts w:hint="eastAsia" w:ascii="仿宋_GB2312" w:hAnsi="仿宋_GB2312" w:eastAsia="仿宋_GB2312"/>
                      <w:b/>
                      <w:bCs/>
                      <w:color w:val="000000" w:themeColor="text1"/>
                      <w:kern w:val="0"/>
                      <w:sz w:val="28"/>
                      <w:szCs w:val="28"/>
                      <w:lang w:val="en-US" w:eastAsia="zh-CN"/>
                      <w14:textFill>
                        <w14:solidFill>
                          <w14:schemeClr w14:val="tx1"/>
                        </w14:solidFill>
                      </w14:textFill>
                    </w:rPr>
                    <w:t>（2）实施“导师团队代表性成果提升计划”。</w:t>
                  </w:r>
                  <w:r>
                    <w:rPr>
                      <w:rStyle w:val="18"/>
                      <w:rFonts w:hint="eastAsia" w:ascii="仿宋_GB2312" w:hAnsi="仿宋_GB2312" w:eastAsia="仿宋_GB2312"/>
                      <w:color w:val="000000" w:themeColor="text1"/>
                      <w:kern w:val="0"/>
                      <w:sz w:val="28"/>
                      <w:szCs w:val="28"/>
                      <w:lang w:val="en-US" w:eastAsia="zh-CN"/>
                      <w14:textFill>
                        <w14:solidFill>
                          <w14:schemeClr w14:val="tx1"/>
                        </w14:solidFill>
                      </w14:textFill>
                    </w:rPr>
                    <w:t>围绕数字空间与交互设计、环境空间与地域创新设计、品牌形象与视觉传达设计”三个学科专业方向，实行“教学+科研+实际项目”联动计划，实现教学创新、科研水平、行业实践能力的提升，取得更多的科研成果与国内外设计奖项等。</w:t>
                  </w:r>
                </w:p>
                <w:p>
                  <w:pPr>
                    <w:spacing w:line="400" w:lineRule="exact"/>
                    <w:ind w:firstLine="562" w:firstLineChars="200"/>
                    <w:rPr>
                      <w:rFonts w:hint="eastAsia"/>
                    </w:rPr>
                  </w:pPr>
                  <w:r>
                    <w:rPr>
                      <w:rStyle w:val="18"/>
                      <w:rFonts w:hint="eastAsia" w:ascii="仿宋_GB2312" w:hAnsi="仿宋_GB2312" w:eastAsia="仿宋_GB2312"/>
                      <w:b/>
                      <w:bCs/>
                      <w:color w:val="000000" w:themeColor="text1"/>
                      <w:kern w:val="0"/>
                      <w:sz w:val="28"/>
                      <w:szCs w:val="28"/>
                      <w:lang w:val="en-US" w:eastAsia="zh-CN"/>
                      <w14:textFill>
                        <w14:solidFill>
                          <w14:schemeClr w14:val="tx1"/>
                        </w14:solidFill>
                      </w14:textFill>
                    </w:rPr>
                    <w:t>（3）实施“骨干教师培养计划”。</w:t>
                  </w:r>
                  <w:r>
                    <w:rPr>
                      <w:rStyle w:val="18"/>
                      <w:rFonts w:hint="eastAsia" w:ascii="仿宋_GB2312" w:hAnsi="仿宋_GB2312" w:eastAsia="仿宋_GB2312"/>
                      <w:color w:val="000000" w:themeColor="text1"/>
                      <w:kern w:val="0"/>
                      <w:sz w:val="28"/>
                      <w:szCs w:val="28"/>
                      <w:lang w:val="en-US" w:eastAsia="zh-CN"/>
                      <w14:textFill>
                        <w14:solidFill>
                          <w14:schemeClr w14:val="tx1"/>
                        </w14:solidFill>
                      </w14:textFill>
                    </w:rPr>
                    <w:t>遴选9—12位艺术设计学科青年教师进行培养，注重 “艺术+科技”并紧跟行业发展，不断提升教学水平与科研水平，补充硕士点的学科建设。</w:t>
                  </w:r>
                </w:p>
              </w:tc>
            </w:tr>
          </w:tbl>
          <w:p>
            <w:pPr>
              <w:spacing w:line="400" w:lineRule="exact"/>
              <w:ind w:firstLine="560" w:firstLineChars="200"/>
              <w:textAlignment w:val="baseline"/>
              <w:rPr>
                <w:rFonts w:hint="eastAsia" w:ascii="仿宋_GB2312" w:hAnsi="仿宋_GB2312" w:eastAsia="仿宋_GB2312" w:cs="仿宋_GB2312"/>
                <w:color w:val="000000"/>
                <w:kern w:val="0"/>
                <w:sz w:val="28"/>
                <w:szCs w:val="28"/>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4" w:hRule="atLeast"/>
          <w:jc w:val="center"/>
        </w:trPr>
        <w:tc>
          <w:tcPr>
            <w:tcW w:w="8711" w:type="dxa"/>
            <w:noWrap w:val="0"/>
            <w:vAlign w:val="top"/>
          </w:tcPr>
          <w:p>
            <w:pPr>
              <w:widowControl/>
              <w:jc w:val="left"/>
              <w:rPr>
                <w:rFonts w:ascii="仿宋_GB2312" w:hAnsi="仿宋_GB2312" w:eastAsia="仿宋_GB2312" w:cs="仿宋_GB2312"/>
                <w:color w:val="000000"/>
                <w:kern w:val="0"/>
                <w:sz w:val="28"/>
                <w:szCs w:val="28"/>
                <w:lang w:bidi="ar"/>
              </w:rPr>
            </w:pPr>
            <w:r>
              <w:rPr>
                <w:rFonts w:hint="eastAsia" w:ascii="仿宋_GB2312" w:hAnsi="仿宋_GB2312" w:eastAsia="仿宋_GB2312" w:cs="仿宋_GB2312"/>
                <w:b/>
                <w:bCs/>
                <w:color w:val="000000"/>
                <w:kern w:val="0"/>
                <w:sz w:val="28"/>
                <w:szCs w:val="28"/>
                <w:lang w:bidi="ar"/>
              </w:rPr>
              <w:t>任务3：人才培养工作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09" w:hRule="atLeast"/>
          <w:jc w:val="center"/>
        </w:trPr>
        <w:tc>
          <w:tcPr>
            <w:tcW w:w="8711" w:type="dxa"/>
            <w:noWrap w:val="0"/>
            <w:vAlign w:val="top"/>
          </w:tcPr>
          <w:p>
            <w:pPr>
              <w:spacing w:line="400" w:lineRule="exact"/>
              <w:rPr>
                <w:rFonts w:hint="eastAsia" w:ascii="仿宋_GB2312" w:hAnsi="仿宋_GB2312" w:eastAsia="仿宋_GB2312" w:cs="仿宋_GB2312"/>
                <w:b/>
                <w:bCs/>
                <w:color w:val="000000"/>
                <w:kern w:val="0"/>
                <w:sz w:val="28"/>
                <w:szCs w:val="28"/>
                <w:lang w:bidi="ar"/>
              </w:rPr>
            </w:pPr>
            <w:r>
              <w:rPr>
                <w:rFonts w:hint="eastAsia" w:ascii="仿宋_GB2312" w:hAnsi="仿宋_GB2312" w:eastAsia="仿宋_GB2312" w:cs="仿宋_GB2312"/>
                <w:b/>
                <w:bCs/>
                <w:color w:val="000000"/>
                <w:kern w:val="0"/>
                <w:sz w:val="28"/>
                <w:szCs w:val="28"/>
                <w:lang w:bidi="ar"/>
              </w:rPr>
              <w:t>具体举措：</w:t>
            </w:r>
          </w:p>
          <w:p>
            <w:pPr>
              <w:spacing w:line="400" w:lineRule="exact"/>
              <w:ind w:firstLine="562" w:firstLineChars="200"/>
              <w:rPr>
                <w:rStyle w:val="18"/>
                <w:rFonts w:hint="eastAsia" w:ascii="仿宋_GB2312" w:hAnsi="仿宋_GB2312" w:eastAsia="仿宋_GB2312"/>
                <w:color w:val="000000" w:themeColor="text1"/>
                <w:kern w:val="0"/>
                <w:sz w:val="28"/>
                <w:szCs w:val="28"/>
                <w:lang w:val="en-US" w:eastAsia="zh-CN"/>
                <w14:textFill>
                  <w14:solidFill>
                    <w14:schemeClr w14:val="tx1"/>
                  </w14:solidFill>
                </w14:textFill>
              </w:rPr>
            </w:pPr>
            <w:r>
              <w:rPr>
                <w:rStyle w:val="18"/>
                <w:rFonts w:hint="eastAsia" w:ascii="仿宋_GB2312" w:hAnsi="仿宋_GB2312" w:eastAsia="仿宋_GB2312"/>
                <w:b/>
                <w:bCs/>
                <w:color w:val="000000" w:themeColor="text1"/>
                <w:kern w:val="0"/>
                <w:sz w:val="28"/>
                <w:szCs w:val="28"/>
                <w:lang w:val="en-US" w:eastAsia="zh-CN"/>
                <w14:textFill>
                  <w14:solidFill>
                    <w14:schemeClr w14:val="tx1"/>
                  </w14:solidFill>
                </w14:textFill>
              </w:rPr>
              <w:t>（1）制定具有特色的、错位发展的艺术硕士学位教育人才培养方案。</w:t>
            </w:r>
            <w:r>
              <w:rPr>
                <w:rStyle w:val="18"/>
                <w:rFonts w:hint="eastAsia" w:ascii="仿宋_GB2312" w:hAnsi="仿宋_GB2312" w:eastAsia="仿宋_GB2312"/>
                <w:color w:val="000000" w:themeColor="text1"/>
                <w:kern w:val="0"/>
                <w:sz w:val="28"/>
                <w:szCs w:val="28"/>
                <w:lang w:val="en-US" w:eastAsia="zh-CN"/>
                <w14:textFill>
                  <w14:solidFill>
                    <w14:schemeClr w14:val="tx1"/>
                  </w14:solidFill>
                </w14:textFill>
              </w:rPr>
              <w:t>以适应国家发展战略及长三角区域经济发展为依据，聚焦上海设计之都建设，提升服务地方能力为目的，确立并实施明确的、符合时代与行业发展的高层次艺术人才的培养目标。围绕“实践型、创新型、国际化”的定位，培养具有国际视野和国家及区域经济社会文化相关知识，能够适应地方区域经济发展需要，具备较强社会实践能力和创新能力的高层次、应用复合型艺术设计人才。</w:t>
            </w:r>
          </w:p>
          <w:p>
            <w:pPr>
              <w:spacing w:line="400" w:lineRule="exact"/>
              <w:ind w:firstLine="562" w:firstLineChars="200"/>
              <w:rPr>
                <w:rStyle w:val="18"/>
                <w:rFonts w:hint="eastAsia" w:ascii="仿宋_GB2312" w:hAnsi="仿宋_GB2312" w:eastAsia="仿宋_GB2312"/>
                <w:color w:val="000000" w:themeColor="text1"/>
                <w:kern w:val="0"/>
                <w:sz w:val="28"/>
                <w:szCs w:val="28"/>
                <w:lang w:val="en-US" w:eastAsia="zh-CN"/>
                <w14:textFill>
                  <w14:solidFill>
                    <w14:schemeClr w14:val="tx1"/>
                  </w14:solidFill>
                </w14:textFill>
              </w:rPr>
            </w:pPr>
            <w:r>
              <w:rPr>
                <w:rStyle w:val="18"/>
                <w:rFonts w:hint="eastAsia" w:ascii="仿宋_GB2312" w:hAnsi="仿宋_GB2312" w:eastAsia="仿宋_GB2312"/>
                <w:b/>
                <w:bCs/>
                <w:color w:val="000000" w:themeColor="text1"/>
                <w:kern w:val="0"/>
                <w:sz w:val="28"/>
                <w:szCs w:val="28"/>
                <w:lang w:val="en-US" w:eastAsia="zh-CN"/>
                <w14:textFill>
                  <w14:solidFill>
                    <w14:schemeClr w14:val="tx1"/>
                  </w14:solidFill>
                </w14:textFill>
              </w:rPr>
              <w:t>（2）建构跨专业的艺术硕士教育课程体系。通过建设交叉学科的教学、研究与实践平台与基地，融入思政元素，挖掘专业课程的育人核心。</w:t>
            </w:r>
            <w:r>
              <w:rPr>
                <w:rStyle w:val="18"/>
                <w:rFonts w:hint="eastAsia" w:ascii="仿宋_GB2312" w:hAnsi="仿宋_GB2312" w:eastAsia="仿宋_GB2312"/>
                <w:color w:val="000000" w:themeColor="text1"/>
                <w:kern w:val="0"/>
                <w:sz w:val="28"/>
                <w:szCs w:val="28"/>
                <w:lang w:val="en-US" w:eastAsia="zh-CN"/>
                <w14:textFill>
                  <w14:solidFill>
                    <w14:schemeClr w14:val="tx1"/>
                  </w14:solidFill>
                </w14:textFill>
              </w:rPr>
              <w:t>依据“上海设计之都”人才需求及当前艺术硕士专业研究生培养的现状，结合我校的特色及优势设置体现地方特色的课程，实施人文素养+实践能力+创新能力的培养模式，紧密结合人才培养方向和行业需求。与人才培养基地密切合作，将职业岗位需求贯穿课程、实训、实习的始终，实现艺术硕士专业研究生培养的目标和任务。</w:t>
            </w:r>
          </w:p>
          <w:p>
            <w:pPr>
              <w:spacing w:line="400" w:lineRule="exact"/>
              <w:ind w:firstLine="562" w:firstLineChars="200"/>
              <w:rPr>
                <w:rStyle w:val="18"/>
                <w:rFonts w:hint="eastAsia" w:ascii="仿宋_GB2312" w:hAnsi="仿宋_GB2312" w:eastAsia="仿宋_GB2312"/>
                <w:color w:val="000000" w:themeColor="text1"/>
                <w:kern w:val="0"/>
                <w:sz w:val="28"/>
                <w:szCs w:val="28"/>
                <w:lang w:val="en-US" w:eastAsia="zh-CN"/>
                <w14:textFill>
                  <w14:solidFill>
                    <w14:schemeClr w14:val="tx1"/>
                  </w14:solidFill>
                </w14:textFill>
              </w:rPr>
            </w:pPr>
            <w:r>
              <w:rPr>
                <w:rStyle w:val="18"/>
                <w:rFonts w:hint="eastAsia" w:ascii="仿宋_GB2312" w:hAnsi="仿宋_GB2312" w:eastAsia="仿宋_GB2312"/>
                <w:b/>
                <w:bCs/>
                <w:color w:val="000000" w:themeColor="text1"/>
                <w:kern w:val="0"/>
                <w:sz w:val="28"/>
                <w:szCs w:val="28"/>
                <w:lang w:val="en-US" w:eastAsia="zh-CN"/>
                <w14:textFill>
                  <w14:solidFill>
                    <w14:schemeClr w14:val="tx1"/>
                  </w14:solidFill>
                </w14:textFill>
              </w:rPr>
              <w:t>（3）创建符合艺术硕士人才培养的产教融合创新模式。</w:t>
            </w:r>
            <w:r>
              <w:rPr>
                <w:rStyle w:val="18"/>
                <w:rFonts w:hint="eastAsia" w:ascii="仿宋_GB2312" w:hAnsi="仿宋_GB2312" w:eastAsia="仿宋_GB2312"/>
                <w:color w:val="000000" w:themeColor="text1"/>
                <w:kern w:val="0"/>
                <w:sz w:val="28"/>
                <w:szCs w:val="28"/>
                <w:lang w:val="en-US" w:eastAsia="zh-CN"/>
                <w14:textFill>
                  <w14:solidFill>
                    <w14:schemeClr w14:val="tx1"/>
                  </w14:solidFill>
                </w14:textFill>
              </w:rPr>
              <w:t>以“教学研发中心”为纽带，连接行业与专业，深化产教融合，加强并细化建设专业实践基地，培养创新型人才。通过与头部企业联合工作室+区域合作，建立动态的、可持续、可跟踪的实践教学模式，应用“课题制+工作室制”+“项目制”多维联动的教学方法。提高学生理论素养与社会实践的综合能力，提高学生综合创新能力，形成学生全域设计思维，助力崇明生态岛发展、助力上海艺术创意产业的发展。</w:t>
            </w:r>
          </w:p>
          <w:p>
            <w:pPr>
              <w:spacing w:line="400" w:lineRule="exact"/>
              <w:ind w:firstLine="562" w:firstLineChars="200"/>
              <w:rPr>
                <w:rFonts w:hint="eastAsia" w:ascii="仿宋_GB2312" w:hAnsi="仿宋_GB2312" w:eastAsia="仿宋_GB2312" w:cs="仿宋_GB2312"/>
                <w:color w:val="000000"/>
                <w:kern w:val="0"/>
                <w:sz w:val="28"/>
                <w:szCs w:val="28"/>
                <w:lang w:bidi="ar"/>
              </w:rPr>
            </w:pPr>
            <w:r>
              <w:rPr>
                <w:rStyle w:val="18"/>
                <w:rFonts w:hint="eastAsia" w:ascii="仿宋_GB2312" w:hAnsi="仿宋_GB2312" w:eastAsia="仿宋_GB2312"/>
                <w:b/>
                <w:bCs/>
                <w:color w:val="000000" w:themeColor="text1"/>
                <w:kern w:val="0"/>
                <w:sz w:val="28"/>
                <w:szCs w:val="28"/>
                <w:lang w:val="en-US" w:eastAsia="zh-CN"/>
                <w14:textFill>
                  <w14:solidFill>
                    <w14:schemeClr w14:val="tx1"/>
                  </w14:solidFill>
                </w14:textFill>
              </w:rPr>
              <w:t>（4）以展促教，以赛哺学。</w:t>
            </w:r>
            <w:r>
              <w:rPr>
                <w:rStyle w:val="18"/>
                <w:rFonts w:hint="eastAsia" w:ascii="仿宋_GB2312" w:hAnsi="仿宋_GB2312" w:eastAsia="仿宋_GB2312"/>
                <w:color w:val="000000" w:themeColor="text1"/>
                <w:kern w:val="0"/>
                <w:sz w:val="28"/>
                <w:szCs w:val="28"/>
                <w:lang w:val="en-US" w:eastAsia="zh-CN"/>
                <w14:textFill>
                  <w14:solidFill>
                    <w14:schemeClr w14:val="tx1"/>
                  </w14:solidFill>
                </w14:textFill>
              </w:rPr>
              <w:t>坚定文化自信，深入挖掘与运用本土东方文化资源和地域文化资源，探索东方文化与艺术设计的互促互鉴之路，充分运用学院发起的“全国民办高校艺术教育与文化创意产业联盟” “国艺·再造”系列论坛和展览、中国品牌日大赛等赛事平台，通过“展与赛”检验教学质量，推广教学成果，深化品牌建设。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jc w:val="center"/>
        </w:trPr>
        <w:tc>
          <w:tcPr>
            <w:tcW w:w="8711" w:type="dxa"/>
            <w:noWrap w:val="0"/>
            <w:vAlign w:val="top"/>
          </w:tcPr>
          <w:p>
            <w:pPr>
              <w:widowControl/>
              <w:jc w:val="left"/>
              <w:rPr>
                <w:rFonts w:hint="eastAsia" w:ascii="仿宋_GB2312" w:hAnsi="仿宋_GB2312" w:eastAsia="仿宋_GB2312" w:cs="仿宋_GB2312"/>
                <w:color w:val="000000"/>
                <w:kern w:val="0"/>
                <w:sz w:val="28"/>
                <w:szCs w:val="28"/>
                <w:lang w:bidi="ar"/>
              </w:rPr>
            </w:pPr>
            <w:r>
              <w:rPr>
                <w:rFonts w:hint="eastAsia" w:ascii="仿宋_GB2312" w:hAnsi="仿宋_GB2312" w:eastAsia="仿宋_GB2312" w:cs="仿宋_GB2312"/>
                <w:b/>
                <w:bCs/>
                <w:color w:val="000000"/>
                <w:kern w:val="0"/>
                <w:sz w:val="28"/>
                <w:szCs w:val="28"/>
                <w:lang w:bidi="ar"/>
              </w:rPr>
              <w:t>任务4：培养环境与条件建设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74" w:hRule="atLeast"/>
          <w:jc w:val="center"/>
        </w:trPr>
        <w:tc>
          <w:tcPr>
            <w:tcW w:w="8711" w:type="dxa"/>
            <w:noWrap w:val="0"/>
            <w:vAlign w:val="top"/>
          </w:tcPr>
          <w:p>
            <w:pPr>
              <w:spacing w:line="400" w:lineRule="exact"/>
              <w:rPr>
                <w:rFonts w:hint="eastAsia" w:ascii="仿宋_GB2312" w:hAnsi="仿宋_GB2312" w:eastAsia="仿宋_GB2312" w:cs="仿宋_GB2312"/>
                <w:b/>
                <w:bCs/>
                <w:color w:val="000000"/>
                <w:kern w:val="0"/>
                <w:sz w:val="28"/>
                <w:szCs w:val="28"/>
                <w:lang w:bidi="ar"/>
              </w:rPr>
            </w:pPr>
            <w:r>
              <w:rPr>
                <w:rFonts w:hint="eastAsia" w:ascii="仿宋_GB2312" w:hAnsi="仿宋_GB2312" w:eastAsia="仿宋_GB2312" w:cs="仿宋_GB2312"/>
                <w:b/>
                <w:bCs/>
                <w:color w:val="000000"/>
                <w:kern w:val="0"/>
                <w:sz w:val="28"/>
                <w:szCs w:val="28"/>
                <w:lang w:bidi="ar"/>
              </w:rPr>
              <w:t>具体举措：</w:t>
            </w:r>
          </w:p>
          <w:p>
            <w:pPr>
              <w:widowControl/>
              <w:spacing w:line="400" w:lineRule="exact"/>
              <w:ind w:firstLine="420" w:firstLineChars="150"/>
              <w:jc w:val="left"/>
              <w:textAlignment w:val="center"/>
              <w:rPr>
                <w:rFonts w:hint="eastAsia" w:ascii="仿宋" w:hAnsi="仿宋" w:eastAsia="仿宋" w:cs="仿宋_GB2312"/>
                <w:bCs/>
                <w:kern w:val="0"/>
                <w:sz w:val="28"/>
                <w:szCs w:val="28"/>
                <w:lang w:bidi="ar"/>
              </w:rPr>
            </w:pPr>
            <w:r>
              <w:rPr>
                <w:rFonts w:hint="eastAsia" w:ascii="仿宋" w:hAnsi="仿宋" w:eastAsia="仿宋" w:cs="仿宋_GB2312"/>
                <w:bCs/>
                <w:kern w:val="0"/>
                <w:sz w:val="28"/>
                <w:szCs w:val="28"/>
                <w:lang w:bidi="ar"/>
              </w:rPr>
              <w:t>加大教学基本建设投入，深化教育教学改革，营造优良的艺术硕士培养环境和条件。</w:t>
            </w:r>
          </w:p>
          <w:p>
            <w:pPr>
              <w:widowControl/>
              <w:spacing w:line="400" w:lineRule="exact"/>
              <w:ind w:firstLine="422" w:firstLineChars="150"/>
              <w:jc w:val="left"/>
              <w:textAlignment w:val="center"/>
              <w:rPr>
                <w:rFonts w:ascii="仿宋" w:hAnsi="仿宋" w:eastAsia="仿宋" w:cs="仿宋_GB2312"/>
                <w:bCs/>
                <w:kern w:val="0"/>
                <w:sz w:val="28"/>
                <w:szCs w:val="28"/>
                <w:lang w:bidi="ar"/>
              </w:rPr>
            </w:pPr>
            <w:r>
              <w:rPr>
                <w:rFonts w:hint="eastAsia" w:ascii="仿宋" w:hAnsi="仿宋" w:eastAsia="仿宋" w:cs="仿宋_GB2312"/>
                <w:b/>
                <w:kern w:val="0"/>
                <w:sz w:val="28"/>
                <w:szCs w:val="28"/>
                <w:lang w:bidi="ar"/>
              </w:rPr>
              <w:t>（1）确立明确且符合行业发展的的艺术人才培养目标。</w:t>
            </w:r>
            <w:r>
              <w:rPr>
                <w:rFonts w:hint="eastAsia" w:ascii="仿宋" w:hAnsi="仿宋" w:eastAsia="仿宋" w:cs="仿宋_GB2312"/>
                <w:bCs/>
                <w:kern w:val="0"/>
                <w:sz w:val="28"/>
                <w:szCs w:val="28"/>
                <w:lang w:bidi="ar"/>
              </w:rPr>
              <w:t>加强教学基本建设，筹建艺术专业学位硕士教育管理中心，配备专职管理人员、包括中心主任和专职教学秘书，制定完善的培养流程和配套管理文件。</w:t>
            </w:r>
          </w:p>
          <w:p>
            <w:pPr>
              <w:widowControl/>
              <w:spacing w:line="400" w:lineRule="exact"/>
              <w:ind w:firstLine="422" w:firstLineChars="150"/>
              <w:jc w:val="left"/>
              <w:textAlignment w:val="center"/>
              <w:rPr>
                <w:rFonts w:ascii="仿宋" w:hAnsi="仿宋" w:eastAsia="仿宋" w:cs="仿宋_GB2312"/>
                <w:bCs/>
                <w:kern w:val="0"/>
                <w:sz w:val="28"/>
                <w:szCs w:val="28"/>
                <w:lang w:bidi="ar"/>
              </w:rPr>
            </w:pPr>
            <w:r>
              <w:rPr>
                <w:rFonts w:hint="eastAsia" w:ascii="仿宋" w:hAnsi="仿宋" w:eastAsia="仿宋" w:cs="仿宋_GB2312"/>
                <w:b/>
                <w:kern w:val="0"/>
                <w:sz w:val="28"/>
                <w:szCs w:val="28"/>
                <w:lang w:bidi="ar"/>
              </w:rPr>
              <w:t>（</w:t>
            </w:r>
            <w:r>
              <w:rPr>
                <w:rFonts w:ascii="仿宋" w:hAnsi="仿宋" w:eastAsia="仿宋" w:cs="仿宋_GB2312"/>
                <w:b/>
                <w:kern w:val="0"/>
                <w:sz w:val="28"/>
                <w:szCs w:val="28"/>
                <w:lang w:bidi="ar"/>
              </w:rPr>
              <w:t>2</w:t>
            </w:r>
            <w:r>
              <w:rPr>
                <w:rFonts w:hint="eastAsia" w:ascii="仿宋" w:hAnsi="仿宋" w:eastAsia="仿宋" w:cs="仿宋_GB2312"/>
                <w:b/>
                <w:kern w:val="0"/>
                <w:sz w:val="28"/>
                <w:szCs w:val="28"/>
                <w:lang w:bidi="ar"/>
              </w:rPr>
              <w:t>）提升导师队伍科研能力。</w:t>
            </w:r>
            <w:r>
              <w:rPr>
                <w:rFonts w:hint="eastAsia" w:ascii="仿宋" w:hAnsi="仿宋" w:eastAsia="仿宋" w:cs="仿宋_GB2312"/>
                <w:bCs/>
                <w:kern w:val="0"/>
                <w:sz w:val="28"/>
                <w:szCs w:val="28"/>
                <w:lang w:bidi="ar"/>
              </w:rPr>
              <w:t>发挥集体培养作用，改革传统培养模式、构建优化、创新的艺术课程体系与教学计划。实现学科科研经费增粘，师均年科研经费到达1万元。代表性专业论文</w:t>
            </w:r>
            <w:r>
              <w:rPr>
                <w:rFonts w:ascii="仿宋" w:hAnsi="仿宋" w:eastAsia="仿宋" w:cs="仿宋_GB2312"/>
                <w:bCs/>
                <w:kern w:val="0"/>
                <w:sz w:val="28"/>
                <w:szCs w:val="28"/>
                <w:lang w:bidi="ar"/>
              </w:rPr>
              <w:t>10--15</w:t>
            </w:r>
            <w:r>
              <w:rPr>
                <w:rFonts w:hint="eastAsia" w:ascii="仿宋" w:hAnsi="仿宋" w:eastAsia="仿宋" w:cs="仿宋_GB2312"/>
                <w:bCs/>
                <w:kern w:val="0"/>
                <w:sz w:val="28"/>
                <w:szCs w:val="28"/>
                <w:lang w:bidi="ar"/>
              </w:rPr>
              <w:t>篇，专业著作（教材）1</w:t>
            </w:r>
            <w:r>
              <w:rPr>
                <w:rFonts w:ascii="仿宋" w:hAnsi="仿宋" w:eastAsia="仿宋" w:cs="仿宋_GB2312"/>
                <w:bCs/>
                <w:kern w:val="0"/>
                <w:sz w:val="28"/>
                <w:szCs w:val="28"/>
                <w:lang w:bidi="ar"/>
              </w:rPr>
              <w:t>-2</w:t>
            </w:r>
            <w:r>
              <w:rPr>
                <w:rFonts w:hint="eastAsia" w:ascii="仿宋" w:hAnsi="仿宋" w:eastAsia="仿宋" w:cs="仿宋_GB2312"/>
                <w:bCs/>
                <w:kern w:val="0"/>
                <w:sz w:val="28"/>
                <w:szCs w:val="28"/>
                <w:lang w:bidi="ar"/>
              </w:rPr>
              <w:t>部；科研项目（横向与纵向）5</w:t>
            </w:r>
            <w:r>
              <w:rPr>
                <w:rFonts w:ascii="仿宋" w:hAnsi="仿宋" w:eastAsia="仿宋" w:cs="仿宋_GB2312"/>
                <w:bCs/>
                <w:kern w:val="0"/>
                <w:sz w:val="28"/>
                <w:szCs w:val="28"/>
                <w:lang w:bidi="ar"/>
              </w:rPr>
              <w:t>--8</w:t>
            </w:r>
            <w:r>
              <w:rPr>
                <w:rFonts w:hint="eastAsia" w:ascii="仿宋" w:hAnsi="仿宋" w:eastAsia="仿宋" w:cs="仿宋_GB2312"/>
                <w:bCs/>
                <w:kern w:val="0"/>
                <w:sz w:val="28"/>
                <w:szCs w:val="28"/>
                <w:lang w:bidi="ar"/>
              </w:rPr>
              <w:t>项；设计专利与课程研发等在内的成果到1</w:t>
            </w:r>
            <w:r>
              <w:rPr>
                <w:rFonts w:ascii="仿宋" w:hAnsi="仿宋" w:eastAsia="仿宋" w:cs="仿宋_GB2312"/>
                <w:bCs/>
                <w:kern w:val="0"/>
                <w:sz w:val="28"/>
                <w:szCs w:val="28"/>
                <w:lang w:bidi="ar"/>
              </w:rPr>
              <w:t>0--15</w:t>
            </w:r>
            <w:r>
              <w:rPr>
                <w:rFonts w:hint="eastAsia" w:ascii="仿宋" w:hAnsi="仿宋" w:eastAsia="仿宋" w:cs="仿宋_GB2312"/>
                <w:bCs/>
                <w:kern w:val="0"/>
                <w:sz w:val="28"/>
                <w:szCs w:val="28"/>
                <w:lang w:bidi="ar"/>
              </w:rPr>
              <w:t>项（篇）；设计创作</w:t>
            </w:r>
            <w:r>
              <w:rPr>
                <w:rFonts w:ascii="仿宋" w:hAnsi="仿宋" w:eastAsia="仿宋" w:cs="仿宋_GB2312"/>
                <w:bCs/>
                <w:kern w:val="0"/>
                <w:sz w:val="28"/>
                <w:szCs w:val="28"/>
                <w:lang w:bidi="ar"/>
              </w:rPr>
              <w:t>10--15</w:t>
            </w:r>
            <w:r>
              <w:rPr>
                <w:rFonts w:hint="eastAsia" w:ascii="仿宋" w:hAnsi="仿宋" w:eastAsia="仿宋" w:cs="仿宋_GB2312"/>
                <w:bCs/>
                <w:kern w:val="0"/>
                <w:sz w:val="28"/>
                <w:szCs w:val="28"/>
                <w:lang w:bidi="ar"/>
              </w:rPr>
              <w:t>余项，省部级及以上设计作品获奖等1</w:t>
            </w:r>
            <w:r>
              <w:rPr>
                <w:rFonts w:ascii="仿宋" w:hAnsi="仿宋" w:eastAsia="仿宋" w:cs="仿宋_GB2312"/>
                <w:bCs/>
                <w:kern w:val="0"/>
                <w:sz w:val="28"/>
                <w:szCs w:val="28"/>
                <w:lang w:bidi="ar"/>
              </w:rPr>
              <w:t>0-15</w:t>
            </w:r>
            <w:r>
              <w:rPr>
                <w:rFonts w:hint="eastAsia" w:ascii="仿宋" w:hAnsi="仿宋" w:eastAsia="仿宋" w:cs="仿宋_GB2312"/>
                <w:bCs/>
                <w:kern w:val="0"/>
                <w:sz w:val="28"/>
                <w:szCs w:val="28"/>
                <w:lang w:bidi="ar"/>
              </w:rPr>
              <w:t>项。</w:t>
            </w:r>
          </w:p>
          <w:p>
            <w:pPr>
              <w:pStyle w:val="8"/>
              <w:spacing w:before="0" w:beforeAutospacing="0" w:after="0" w:afterAutospacing="0" w:line="400" w:lineRule="exact"/>
              <w:ind w:firstLine="562" w:firstLineChars="200"/>
              <w:jc w:val="both"/>
              <w:rPr>
                <w:rFonts w:hint="eastAsia" w:ascii="仿宋" w:hAnsi="仿宋" w:eastAsia="仿宋" w:cs="仿宋_GB2312"/>
                <w:bCs/>
                <w:sz w:val="28"/>
                <w:szCs w:val="28"/>
              </w:rPr>
            </w:pPr>
            <w:r>
              <w:rPr>
                <w:rFonts w:hint="eastAsia" w:ascii="仿宋" w:hAnsi="仿宋" w:eastAsia="仿宋"/>
                <w:b/>
                <w:bCs/>
                <w:sz w:val="28"/>
                <w:szCs w:val="28"/>
              </w:rPr>
              <w:t>（3）加强学术交流与举办活动。</w:t>
            </w:r>
            <w:r>
              <w:rPr>
                <w:rFonts w:hint="eastAsia" w:ascii="仿宋" w:hAnsi="仿宋" w:eastAsia="仿宋" w:cs="仿宋_GB2312"/>
                <w:bCs/>
                <w:sz w:val="28"/>
                <w:szCs w:val="28"/>
              </w:rPr>
              <w:t>鼓励教师每年参加国内国际专业学术交流会、研讨会；举办全国民办高校艺术教育与文化创意产业联盟，践行 “国艺·再造</w:t>
            </w:r>
            <w:r>
              <w:rPr>
                <w:rFonts w:hint="eastAsia" w:ascii="仿宋" w:hAnsi="仿宋" w:eastAsia="仿宋" w:cs="仿宋_GB2312"/>
                <w:bCs/>
                <w:color w:val="000000"/>
                <w:sz w:val="28"/>
                <w:szCs w:val="28"/>
              </w:rPr>
              <w:t>”行动计划，共建产学研公共服务平台，组织研讨会，提升学术影响力。每年协办“我为乡村种风景大赛”（上海市共青团委与全国艺指委主办）、中国品牌日大赛（国家发改委主办）、开设“大师讲堂”</w:t>
            </w:r>
            <w:r>
              <w:rPr>
                <w:rFonts w:ascii="仿宋" w:hAnsi="仿宋" w:eastAsia="仿宋" w:cs="仿宋_GB2312"/>
                <w:bCs/>
                <w:color w:val="000000"/>
                <w:sz w:val="28"/>
                <w:szCs w:val="28"/>
              </w:rPr>
              <w:t>10--15</w:t>
            </w:r>
            <w:r>
              <w:rPr>
                <w:rFonts w:hint="eastAsia" w:ascii="仿宋" w:hAnsi="仿宋" w:eastAsia="仿宋" w:cs="仿宋_GB2312"/>
                <w:bCs/>
                <w:color w:val="000000"/>
                <w:sz w:val="28"/>
                <w:szCs w:val="28"/>
              </w:rPr>
              <w:t>次，邀请艺术</w:t>
            </w:r>
            <w:r>
              <w:rPr>
                <w:rFonts w:hint="eastAsia" w:ascii="仿宋" w:hAnsi="仿宋" w:eastAsia="仿宋" w:cs="仿宋_GB2312"/>
                <w:bCs/>
                <w:sz w:val="28"/>
                <w:szCs w:val="28"/>
              </w:rPr>
              <w:t>家、行业大师、非遗传人等进入校园开展学术讲座等。</w:t>
            </w:r>
          </w:p>
          <w:p>
            <w:pPr>
              <w:widowControl/>
              <w:spacing w:line="400" w:lineRule="exact"/>
              <w:ind w:firstLine="422" w:firstLineChars="150"/>
              <w:jc w:val="left"/>
              <w:textAlignment w:val="center"/>
              <w:rPr>
                <w:rFonts w:ascii="仿宋" w:hAnsi="仿宋" w:eastAsia="仿宋" w:cs="仿宋_GB2312"/>
                <w:bCs/>
                <w:kern w:val="0"/>
                <w:sz w:val="28"/>
                <w:szCs w:val="28"/>
                <w:lang w:bidi="ar"/>
              </w:rPr>
            </w:pPr>
            <w:r>
              <w:rPr>
                <w:rFonts w:hint="eastAsia" w:ascii="仿宋" w:hAnsi="仿宋" w:eastAsia="仿宋" w:cs="仿宋_GB2312"/>
                <w:b/>
                <w:kern w:val="0"/>
                <w:sz w:val="28"/>
                <w:szCs w:val="28"/>
                <w:lang w:bidi="ar"/>
              </w:rPr>
              <w:t>（</w:t>
            </w:r>
            <w:r>
              <w:rPr>
                <w:rFonts w:ascii="仿宋" w:hAnsi="仿宋" w:eastAsia="仿宋" w:cs="仿宋_GB2312"/>
                <w:b/>
                <w:kern w:val="0"/>
                <w:sz w:val="28"/>
                <w:szCs w:val="28"/>
                <w:lang w:bidi="ar"/>
              </w:rPr>
              <w:t>4</w:t>
            </w:r>
            <w:r>
              <w:rPr>
                <w:rFonts w:hint="eastAsia" w:ascii="仿宋" w:hAnsi="仿宋" w:eastAsia="仿宋" w:cs="仿宋_GB2312"/>
                <w:b/>
                <w:kern w:val="0"/>
                <w:sz w:val="28"/>
                <w:szCs w:val="28"/>
                <w:lang w:bidi="ar"/>
              </w:rPr>
              <w:t>）加强实验室和实践教学基地建设。</w:t>
            </w:r>
            <w:r>
              <w:rPr>
                <w:rFonts w:hint="eastAsia" w:ascii="仿宋" w:hAnsi="仿宋" w:eastAsia="仿宋" w:cs="仿宋_GB2312"/>
                <w:bCs/>
                <w:kern w:val="0"/>
                <w:sz w:val="28"/>
                <w:szCs w:val="28"/>
                <w:lang w:bidi="ar"/>
              </w:rPr>
              <w:t>通过引进校外导师和大力开发校外实习基地与校内实践基地3</w:t>
            </w:r>
            <w:r>
              <w:rPr>
                <w:rFonts w:ascii="仿宋" w:hAnsi="仿宋" w:eastAsia="仿宋" w:cs="仿宋_GB2312"/>
                <w:bCs/>
                <w:kern w:val="0"/>
                <w:sz w:val="28"/>
                <w:szCs w:val="28"/>
                <w:lang w:bidi="ar"/>
              </w:rPr>
              <w:t>000</w:t>
            </w:r>
            <w:r>
              <w:rPr>
                <w:rFonts w:hint="eastAsia" w:ascii="仿宋" w:hAnsi="仿宋" w:eastAsia="仿宋" w:cs="仿宋_GB2312"/>
                <w:bCs/>
                <w:kern w:val="0"/>
                <w:sz w:val="28"/>
                <w:szCs w:val="28"/>
                <w:lang w:bidi="ar"/>
              </w:rPr>
              <w:t>余平方米（</w:t>
            </w:r>
            <w:r>
              <w:rPr>
                <w:rFonts w:hint="eastAsia" w:ascii="仿宋" w:hAnsi="仿宋" w:eastAsia="仿宋" w:cs="Times New Roman"/>
                <w:sz w:val="28"/>
                <w:szCs w:val="28"/>
              </w:rPr>
              <w:t>数字空间与交互设计</w:t>
            </w:r>
            <w:r>
              <w:rPr>
                <w:rFonts w:hint="eastAsia" w:ascii="仿宋" w:hAnsi="仿宋" w:eastAsia="仿宋" w:cs="仿宋_GB2312"/>
                <w:bCs/>
                <w:kern w:val="0"/>
                <w:sz w:val="28"/>
                <w:szCs w:val="28"/>
                <w:lang w:bidi="ar"/>
              </w:rPr>
              <w:t>实践基地</w:t>
            </w:r>
            <w:r>
              <w:rPr>
                <w:rFonts w:hint="eastAsia" w:ascii="仿宋" w:hAnsi="仿宋" w:eastAsia="仿宋" w:cs="Times New Roman"/>
                <w:sz w:val="28"/>
                <w:szCs w:val="28"/>
              </w:rPr>
              <w:t>、环境空间与地域创新设计</w:t>
            </w:r>
            <w:r>
              <w:rPr>
                <w:rFonts w:hint="eastAsia" w:ascii="仿宋" w:hAnsi="仿宋" w:eastAsia="仿宋" w:cs="仿宋_GB2312"/>
                <w:bCs/>
                <w:kern w:val="0"/>
                <w:sz w:val="28"/>
                <w:szCs w:val="28"/>
                <w:lang w:bidi="ar"/>
              </w:rPr>
              <w:t>实践基地</w:t>
            </w:r>
            <w:r>
              <w:rPr>
                <w:rFonts w:hint="eastAsia" w:ascii="仿宋" w:hAnsi="仿宋" w:eastAsia="仿宋" w:cs="Times New Roman"/>
                <w:sz w:val="28"/>
                <w:szCs w:val="28"/>
              </w:rPr>
              <w:t>、品牌形象与视觉传达设计</w:t>
            </w:r>
            <w:r>
              <w:rPr>
                <w:rFonts w:hint="eastAsia" w:ascii="仿宋" w:hAnsi="仿宋" w:eastAsia="仿宋" w:cs="仿宋_GB2312"/>
                <w:bCs/>
                <w:kern w:val="0"/>
                <w:sz w:val="28"/>
                <w:szCs w:val="28"/>
                <w:lang w:bidi="ar"/>
              </w:rPr>
              <w:t>实践基地等），将学生的专业实践落到实处，建设营造优良的学习环境。保证教研室、工作室（虚拟现实艺术与技术工作室、数字互动娱乐工作室、品牌视觉工作室等）、重点实验室（自然生态景观实验室、色彩与光环境实验室、空间模型实验室等）、实践基地等科研创新平台，能够提供满足培养专业硕士研究生需要的课程、教学、专业文献资料以及现代化教学设施等。</w:t>
            </w:r>
          </w:p>
          <w:p>
            <w:pPr>
              <w:spacing w:line="400" w:lineRule="exact"/>
              <w:rPr>
                <w:rFonts w:hint="eastAsia" w:ascii="仿宋_GB2312" w:hAnsi="仿宋_GB2312" w:eastAsia="仿宋_GB2312" w:cs="仿宋_GB2312"/>
                <w:color w:val="000000"/>
                <w:kern w:val="0"/>
                <w:sz w:val="28"/>
                <w:szCs w:val="28"/>
                <w:lang w:bidi="ar"/>
              </w:rPr>
            </w:pPr>
            <w:r>
              <w:rPr>
                <w:rFonts w:hint="eastAsia" w:ascii="仿宋" w:hAnsi="仿宋" w:eastAsia="仿宋" w:cs="仿宋_GB2312"/>
                <w:b/>
                <w:kern w:val="0"/>
                <w:sz w:val="28"/>
                <w:szCs w:val="28"/>
                <w:lang w:bidi="ar"/>
              </w:rPr>
              <w:t>（</w:t>
            </w:r>
            <w:r>
              <w:rPr>
                <w:rFonts w:ascii="仿宋" w:hAnsi="仿宋" w:eastAsia="仿宋" w:cs="仿宋_GB2312"/>
                <w:b/>
                <w:kern w:val="0"/>
                <w:sz w:val="28"/>
                <w:szCs w:val="28"/>
                <w:lang w:bidi="ar"/>
              </w:rPr>
              <w:t>5</w:t>
            </w:r>
            <w:r>
              <w:rPr>
                <w:rFonts w:hint="eastAsia" w:ascii="仿宋" w:hAnsi="仿宋" w:eastAsia="仿宋" w:cs="仿宋_GB2312"/>
                <w:b/>
                <w:kern w:val="0"/>
                <w:sz w:val="28"/>
                <w:szCs w:val="28"/>
                <w:lang w:bidi="ar"/>
              </w:rPr>
              <w:t>）深化教学改革。</w:t>
            </w:r>
            <w:r>
              <w:rPr>
                <w:rFonts w:hint="eastAsia" w:ascii="仿宋" w:hAnsi="仿宋" w:eastAsia="仿宋" w:cs="仿宋_GB2312"/>
                <w:bCs/>
                <w:kern w:val="0"/>
                <w:sz w:val="28"/>
                <w:szCs w:val="28"/>
                <w:lang w:bidi="ar"/>
              </w:rPr>
              <w:t>秉承“学科交叉、协同创新”理念，注重艺术学科与其他相关学科之间的交叉融合，同时挖掘本土在地文化资源，建构课题制和项目制导入教学模式，加强产学研一体化建设，培养综合性创意设计人才。</w:t>
            </w:r>
          </w:p>
        </w:tc>
      </w:tr>
    </w:tbl>
    <w:p>
      <w:pPr>
        <w:outlineLvl w:val="0"/>
        <w:rPr>
          <w:rFonts w:hint="eastAsia"/>
          <w:b/>
          <w:color w:val="000000"/>
          <w:sz w:val="32"/>
          <w:szCs w:val="32"/>
        </w:rPr>
        <w:sectPr>
          <w:footerReference r:id="rId12" w:type="default"/>
          <w:pgSz w:w="11906" w:h="16838"/>
          <w:pgMar w:top="1701" w:right="1588" w:bottom="1701" w:left="1588" w:header="851" w:footer="992" w:gutter="0"/>
          <w:cols w:space="720" w:num="1"/>
          <w:docGrid w:type="lines" w:linePitch="312" w:charSpace="0"/>
        </w:sectPr>
      </w:pPr>
    </w:p>
    <w:p>
      <w:pPr>
        <w:numPr>
          <w:ilvl w:val="0"/>
          <w:numId w:val="3"/>
        </w:numPr>
        <w:outlineLvl w:val="0"/>
        <w:rPr>
          <w:rFonts w:hint="eastAsia" w:ascii="黑体" w:hAnsi="黑体" w:eastAsia="黑体" w:cs="黑体"/>
          <w:bCs/>
          <w:color w:val="000000"/>
          <w:sz w:val="30"/>
          <w:szCs w:val="30"/>
        </w:rPr>
      </w:pPr>
      <w:r>
        <w:rPr>
          <w:rFonts w:hint="eastAsia" w:ascii="黑体" w:hAnsi="黑体" w:eastAsia="黑体" w:cs="黑体"/>
          <w:bCs/>
          <w:color w:val="000000"/>
          <w:sz w:val="30"/>
          <w:szCs w:val="30"/>
        </w:rPr>
        <w:t>学位授权审核申请基本条件对照表（学位点名称：翻译  ）</w:t>
      </w:r>
    </w:p>
    <w:tbl>
      <w:tblPr>
        <w:tblStyle w:val="9"/>
        <w:tblW w:w="4812"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24"/>
        <w:gridCol w:w="1855"/>
        <w:gridCol w:w="2919"/>
        <w:gridCol w:w="27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6" w:hRule="atLeast"/>
        </w:trPr>
        <w:tc>
          <w:tcPr>
            <w:tcW w:w="2979" w:type="dxa"/>
            <w:gridSpan w:val="2"/>
            <w:noWrap w:val="0"/>
            <w:vAlign w:val="center"/>
          </w:tcPr>
          <w:p>
            <w:pPr>
              <w:widowControl/>
              <w:jc w:val="center"/>
              <w:textAlignment w:val="center"/>
              <w:rPr>
                <w:rFonts w:hint="eastAsia" w:ascii="仿宋_GB2312" w:hAnsi="仿宋_GB2312" w:eastAsia="仿宋_GB2312" w:cs="仿宋_GB2312"/>
                <w:b/>
                <w:color w:val="000000"/>
                <w:kern w:val="0"/>
                <w:sz w:val="28"/>
                <w:szCs w:val="28"/>
                <w:lang w:bidi="ar"/>
              </w:rPr>
            </w:pPr>
            <w:r>
              <w:rPr>
                <w:rFonts w:hint="eastAsia" w:ascii="仿宋_GB2312" w:hAnsi="仿宋_GB2312" w:eastAsia="仿宋_GB2312" w:cs="仿宋_GB2312"/>
                <w:b/>
                <w:color w:val="000000"/>
                <w:kern w:val="0"/>
                <w:sz w:val="28"/>
                <w:szCs w:val="28"/>
                <w:lang w:bidi="ar"/>
              </w:rPr>
              <w:t>国家规定基本条件</w:t>
            </w:r>
          </w:p>
          <w:p>
            <w:pPr>
              <w:widowControl/>
              <w:spacing w:line="260" w:lineRule="exact"/>
              <w:textAlignment w:val="center"/>
              <w:rPr>
                <w:rFonts w:hint="eastAsia" w:ascii="仿宋_GB2312" w:hAnsi="仿宋_GB2312" w:eastAsia="仿宋_GB2312" w:cs="仿宋_GB2312"/>
                <w:b/>
                <w:color w:val="000000"/>
                <w:sz w:val="28"/>
                <w:szCs w:val="28"/>
              </w:rPr>
            </w:pPr>
            <w:r>
              <w:rPr>
                <w:rFonts w:hint="eastAsia" w:ascii="仿宋_GB2312" w:hAnsi="仿宋_GB2312" w:eastAsia="仿宋_GB2312" w:cs="仿宋_GB2312"/>
                <w:bCs/>
                <w:color w:val="000000"/>
                <w:kern w:val="0"/>
                <w:sz w:val="20"/>
                <w:szCs w:val="20"/>
                <w:lang w:bidi="ar"/>
              </w:rPr>
              <w:t>（需按申请的具体类型和学科，对标《学位授权审核申请基本条件（2020）》逐一填写）</w:t>
            </w:r>
          </w:p>
        </w:tc>
        <w:tc>
          <w:tcPr>
            <w:tcW w:w="2919" w:type="dxa"/>
            <w:noWrap w:val="0"/>
            <w:vAlign w:val="center"/>
          </w:tcPr>
          <w:p>
            <w:pPr>
              <w:widowControl/>
              <w:jc w:val="center"/>
              <w:textAlignment w:val="center"/>
              <w:rPr>
                <w:rFonts w:hint="eastAsia" w:ascii="仿宋_GB2312" w:hAnsi="仿宋_GB2312" w:eastAsia="仿宋_GB2312" w:cs="仿宋_GB2312"/>
                <w:b/>
                <w:color w:val="000000"/>
                <w:sz w:val="28"/>
                <w:szCs w:val="28"/>
              </w:rPr>
            </w:pPr>
            <w:r>
              <w:rPr>
                <w:rFonts w:hint="eastAsia" w:ascii="仿宋_GB2312" w:hAnsi="仿宋_GB2312" w:eastAsia="仿宋_GB2312" w:cs="仿宋_GB2312"/>
                <w:b/>
                <w:color w:val="000000"/>
                <w:sz w:val="28"/>
                <w:szCs w:val="28"/>
              </w:rPr>
              <w:t>目前情况</w:t>
            </w:r>
          </w:p>
        </w:tc>
        <w:tc>
          <w:tcPr>
            <w:tcW w:w="2712" w:type="dxa"/>
            <w:noWrap w:val="0"/>
            <w:vAlign w:val="center"/>
          </w:tcPr>
          <w:p>
            <w:pPr>
              <w:widowControl/>
              <w:jc w:val="center"/>
              <w:textAlignment w:val="center"/>
              <w:rPr>
                <w:rFonts w:hint="eastAsia" w:ascii="仿宋_GB2312" w:hAnsi="仿宋_GB2312" w:eastAsia="仿宋_GB2312" w:cs="仿宋_GB2312"/>
                <w:b/>
                <w:color w:val="000000"/>
                <w:sz w:val="28"/>
                <w:szCs w:val="28"/>
              </w:rPr>
            </w:pPr>
            <w:r>
              <w:rPr>
                <w:rFonts w:hint="eastAsia" w:ascii="仿宋_GB2312" w:hAnsi="仿宋_GB2312" w:eastAsia="仿宋_GB2312" w:cs="仿宋_GB2312"/>
                <w:b/>
                <w:color w:val="000000"/>
                <w:sz w:val="28"/>
                <w:szCs w:val="28"/>
              </w:rPr>
              <w:t>建设目标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9" w:hRule="atLeast"/>
        </w:trPr>
        <w:tc>
          <w:tcPr>
            <w:tcW w:w="1124" w:type="dxa"/>
            <w:vMerge w:val="restart"/>
            <w:noWrap w:val="0"/>
            <w:vAlign w:val="center"/>
          </w:tcPr>
          <w:p>
            <w:pPr>
              <w:widowControl/>
              <w:jc w:val="left"/>
              <w:textAlignment w:val="center"/>
              <w:rPr>
                <w:rFonts w:hint="eastAsia" w:ascii="仿宋_GB2312" w:hAnsi="仿宋_GB2312" w:eastAsia="仿宋_GB2312" w:cs="仿宋_GB2312"/>
                <w:bCs/>
                <w:color w:val="000000"/>
                <w:sz w:val="24"/>
                <w:szCs w:val="24"/>
              </w:rPr>
            </w:pPr>
            <w:r>
              <w:rPr>
                <w:rFonts w:hint="eastAsia" w:ascii="仿宋_GB2312" w:hAnsi="仿宋_GB2312" w:eastAsia="仿宋_GB2312" w:cs="仿宋_GB2312"/>
                <w:bCs/>
                <w:color w:val="000000"/>
                <w:kern w:val="0"/>
                <w:sz w:val="24"/>
                <w:szCs w:val="24"/>
                <w:lang w:bidi="ar"/>
              </w:rPr>
              <w:t>一、学科方向与特色</w:t>
            </w:r>
          </w:p>
        </w:tc>
        <w:tc>
          <w:tcPr>
            <w:tcW w:w="1855" w:type="dxa"/>
            <w:noWrap w:val="0"/>
            <w:vAlign w:val="center"/>
          </w:tcPr>
          <w:p>
            <w:pPr>
              <w:widowControl/>
              <w:jc w:val="left"/>
              <w:textAlignment w:val="center"/>
              <w:rPr>
                <w:rFonts w:hint="eastAsia" w:ascii="仿宋_GB2312" w:hAnsi="仿宋_GB2312" w:eastAsia="仿宋_GB2312" w:cs="仿宋_GB2312"/>
                <w:bCs/>
                <w:color w:val="000000"/>
                <w:sz w:val="24"/>
                <w:szCs w:val="24"/>
              </w:rPr>
            </w:pPr>
            <w:r>
              <w:rPr>
                <w:rFonts w:hint="eastAsia" w:ascii="仿宋_GB2312" w:hAnsi="仿宋_GB2312" w:eastAsia="仿宋_GB2312" w:cs="仿宋_GB2312"/>
                <w:bCs/>
                <w:color w:val="000000"/>
                <w:kern w:val="0"/>
                <w:sz w:val="24"/>
                <w:szCs w:val="24"/>
                <w:lang w:bidi="ar"/>
              </w:rPr>
              <w:t>1.学科方向</w:t>
            </w:r>
          </w:p>
        </w:tc>
        <w:tc>
          <w:tcPr>
            <w:tcW w:w="2919" w:type="dxa"/>
            <w:noWrap w:val="0"/>
            <w:vAlign w:val="center"/>
          </w:tcPr>
          <w:p>
            <w:pPr>
              <w:jc w:val="left"/>
              <w:textAlignment w:val="baseline"/>
              <w:rPr>
                <w:rFonts w:ascii="仿宋_GB2312" w:hAnsi="仿宋_GB2312" w:eastAsia="仿宋_GB2312" w:cs="Times New Roman"/>
                <w:bCs/>
                <w:color w:val="000000" w:themeColor="text1"/>
                <w:sz w:val="24"/>
                <w:szCs w:val="24"/>
                <w14:textFill>
                  <w14:solidFill>
                    <w14:schemeClr w14:val="tx1"/>
                  </w14:solidFill>
                </w14:textFill>
              </w:rPr>
            </w:pPr>
            <w:r>
              <w:rPr>
                <w:rFonts w:ascii="仿宋_GB2312" w:hAnsi="仿宋_GB2312" w:eastAsia="仿宋_GB2312" w:cs="Times New Roman"/>
                <w:bCs/>
                <w:color w:val="000000" w:themeColor="text1"/>
                <w:sz w:val="24"/>
                <w:szCs w:val="24"/>
                <w14:textFill>
                  <w14:solidFill>
                    <w14:schemeClr w14:val="tx1"/>
                  </w14:solidFill>
                </w14:textFill>
              </w:rPr>
              <w:t>英语</w:t>
            </w:r>
            <w:r>
              <w:rPr>
                <w:rFonts w:hint="eastAsia" w:ascii="仿宋_GB2312" w:hAnsi="仿宋_GB2312" w:eastAsia="仿宋_GB2312" w:cs="Times New Roman"/>
                <w:bCs/>
                <w:color w:val="000000" w:themeColor="text1"/>
                <w:sz w:val="24"/>
                <w:szCs w:val="24"/>
                <w14:textFill>
                  <w14:solidFill>
                    <w14:schemeClr w14:val="tx1"/>
                  </w14:solidFill>
                </w14:textFill>
              </w:rPr>
              <w:t>语言文学</w:t>
            </w:r>
          </w:p>
        </w:tc>
        <w:tc>
          <w:tcPr>
            <w:tcW w:w="2712" w:type="dxa"/>
            <w:noWrap w:val="0"/>
            <w:vAlign w:val="center"/>
          </w:tcPr>
          <w:p>
            <w:pPr>
              <w:jc w:val="left"/>
              <w:textAlignment w:val="baseline"/>
              <w:rPr>
                <w:rFonts w:ascii="仿宋_GB2312" w:hAnsi="仿宋_GB2312" w:eastAsia="仿宋_GB2312" w:cs="Times New Roman"/>
                <w:bCs/>
                <w:color w:val="000000" w:themeColor="text1"/>
                <w:sz w:val="24"/>
                <w:szCs w:val="24"/>
                <w14:textFill>
                  <w14:solidFill>
                    <w14:schemeClr w14:val="tx1"/>
                  </w14:solidFill>
                </w14:textFill>
              </w:rPr>
            </w:pPr>
            <w:r>
              <w:rPr>
                <w:rStyle w:val="18"/>
                <w:rFonts w:ascii="仿宋_GB2312" w:hAnsi="仿宋_GB2312" w:eastAsia="仿宋_GB2312"/>
                <w:bCs/>
                <w:color w:val="000000" w:themeColor="text1"/>
                <w:sz w:val="24"/>
                <w:szCs w:val="24"/>
                <w14:textFill>
                  <w14:solidFill>
                    <w14:schemeClr w14:val="tx1"/>
                  </w14:solidFill>
                </w14:textFill>
              </w:rPr>
              <w:t>翻译</w:t>
            </w:r>
            <w:r>
              <w:rPr>
                <w:rStyle w:val="18"/>
                <w:rFonts w:hint="eastAsia" w:ascii="仿宋_GB2312" w:hAnsi="仿宋_GB2312" w:eastAsia="仿宋_GB2312"/>
                <w:bCs/>
                <w:color w:val="000000" w:themeColor="text1"/>
                <w:sz w:val="24"/>
                <w:szCs w:val="24"/>
                <w14:textFill>
                  <w14:solidFill>
                    <w14:schemeClr w14:val="tx1"/>
                  </w14:solidFill>
                </w14:textFill>
              </w:rPr>
              <w:t>硕士专业学位授权点（英语）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9" w:hRule="atLeast"/>
        </w:trPr>
        <w:tc>
          <w:tcPr>
            <w:tcW w:w="1124" w:type="dxa"/>
            <w:vMerge w:val="continue"/>
            <w:noWrap w:val="0"/>
            <w:vAlign w:val="center"/>
          </w:tcPr>
          <w:p>
            <w:pPr>
              <w:jc w:val="left"/>
              <w:rPr>
                <w:rFonts w:hint="eastAsia" w:ascii="仿宋_GB2312" w:hAnsi="仿宋_GB2312" w:eastAsia="仿宋_GB2312" w:cs="仿宋_GB2312"/>
                <w:bCs/>
                <w:color w:val="000000"/>
                <w:sz w:val="24"/>
                <w:szCs w:val="24"/>
              </w:rPr>
            </w:pPr>
          </w:p>
        </w:tc>
        <w:tc>
          <w:tcPr>
            <w:tcW w:w="1855" w:type="dxa"/>
            <w:noWrap w:val="0"/>
            <w:vAlign w:val="center"/>
          </w:tcPr>
          <w:p>
            <w:pPr>
              <w:widowControl/>
              <w:jc w:val="left"/>
              <w:textAlignment w:val="center"/>
              <w:rPr>
                <w:rFonts w:hint="eastAsia" w:ascii="仿宋_GB2312" w:hAnsi="仿宋_GB2312" w:eastAsia="仿宋_GB2312" w:cs="仿宋_GB2312"/>
                <w:bCs/>
                <w:color w:val="000000"/>
                <w:sz w:val="24"/>
                <w:szCs w:val="24"/>
              </w:rPr>
            </w:pPr>
            <w:r>
              <w:rPr>
                <w:rFonts w:hint="eastAsia" w:ascii="仿宋_GB2312" w:hAnsi="仿宋_GB2312" w:eastAsia="仿宋_GB2312" w:cs="仿宋_GB2312"/>
                <w:bCs/>
                <w:color w:val="000000"/>
                <w:kern w:val="0"/>
                <w:sz w:val="24"/>
                <w:szCs w:val="24"/>
                <w:lang w:bidi="ar"/>
              </w:rPr>
              <w:t>2.学科特色</w:t>
            </w:r>
          </w:p>
        </w:tc>
        <w:tc>
          <w:tcPr>
            <w:tcW w:w="2919" w:type="dxa"/>
            <w:noWrap w:val="0"/>
            <w:vAlign w:val="center"/>
          </w:tcPr>
          <w:p>
            <w:pPr>
              <w:jc w:val="left"/>
              <w:textAlignment w:val="baseline"/>
              <w:rPr>
                <w:rFonts w:hint="eastAsia" w:ascii="仿宋_GB2312" w:hAnsi="仿宋_GB2312" w:eastAsia="仿宋_GB2312" w:cs="Times New Roman"/>
                <w:bCs/>
                <w:color w:val="000000" w:themeColor="text1"/>
                <w:sz w:val="24"/>
                <w:szCs w:val="24"/>
                <w14:textFill>
                  <w14:solidFill>
                    <w14:schemeClr w14:val="tx1"/>
                  </w14:solidFill>
                </w14:textFill>
              </w:rPr>
            </w:pPr>
            <w:r>
              <w:rPr>
                <w:rStyle w:val="18"/>
                <w:rFonts w:hint="eastAsia" w:ascii="仿宋_GB2312" w:hAnsi="仿宋_GB2312" w:eastAsia="仿宋_GB2312"/>
                <w:bCs/>
                <w:color w:val="000000" w:themeColor="text1"/>
                <w:sz w:val="24"/>
                <w:szCs w:val="24"/>
                <w14:textFill>
                  <w14:solidFill>
                    <w14:schemeClr w14:val="tx1"/>
                  </w14:solidFill>
                </w14:textFill>
              </w:rPr>
              <w:t>实施“外语+商科”培养模式，以培养应用复合型外语人才。2019年形成了“外语+商科”的特色培养模式及课程体系构建。2020年强力推进实践教学，打造“校中企”崭新的办学模式，构建了翻译模块的实践教学体系，实现具有国际视野、高尚情怀和跨文化交际能力的应用复合型、新文科的外语人才培养模式。2020年将该专业笼统的“翻译方向”逐步向“翻译专业”发展，开设《商务现场口译》《产品本地化翻译》《应急翻译服务》《计算机辅助翻译》等新课程，以翻译+金融、经济、贸易、电商和会展等为培养目标，培养各行各业语言服务紧缺人才。</w:t>
            </w:r>
          </w:p>
        </w:tc>
        <w:tc>
          <w:tcPr>
            <w:tcW w:w="2712" w:type="dxa"/>
            <w:noWrap w:val="0"/>
            <w:vAlign w:val="center"/>
          </w:tcPr>
          <w:p>
            <w:pPr>
              <w:jc w:val="left"/>
              <w:textAlignment w:val="baseline"/>
              <w:rPr>
                <w:rStyle w:val="18"/>
                <w:rFonts w:hint="eastAsia" w:ascii="仿宋_GB2312" w:hAnsi="仿宋_GB2312" w:eastAsia="仿宋_GB2312"/>
                <w:bCs/>
                <w:color w:val="000000" w:themeColor="text1"/>
                <w:sz w:val="24"/>
                <w:szCs w:val="24"/>
                <w14:textFill>
                  <w14:solidFill>
                    <w14:schemeClr w14:val="tx1"/>
                  </w14:solidFill>
                </w14:textFill>
              </w:rPr>
            </w:pPr>
            <w:r>
              <w:rPr>
                <w:rStyle w:val="18"/>
                <w:rFonts w:hint="eastAsia" w:ascii="仿宋_GB2312" w:hAnsi="仿宋_GB2312" w:eastAsia="仿宋_GB2312"/>
                <w:bCs/>
                <w:color w:val="000000" w:themeColor="text1"/>
                <w:sz w:val="24"/>
                <w:szCs w:val="24"/>
                <w14:textFill>
                  <w14:solidFill>
                    <w14:schemeClr w14:val="tx1"/>
                  </w14:solidFill>
                </w14:textFill>
              </w:rPr>
              <w:t>（1）中华外译特色建设。中国典籍是中华民族优秀文化的主要传承方式和重要载体，翻译质量与对外传播效果决定着中国文化在国际社会的影响力。翻译专业硕士学位点培育建设，以国家社科基金中华学术外译“中国文学叙事传统研究”项目、《英韵三字经》翻译、“翻译硕士校外导师立体管理模式”及上海市教委“翻译硕士专业学位实践基地建设”项目为基础，以中华典籍翻译为引领，发挥多语种传播文化的优势，大力发展中华典籍对外翻译事业，积极参与中华文化典籍的外译工作，为弘扬中华文化、促进世界多元文化交流做出自己的贡献。把中国特色、中国风格、中国气派的中国典籍翻译出来，推向世界，以此展示真实、立体、全面的中国，着重打造一支“德才兼备”高素质、多语种的“中华外译”师资队伍。</w:t>
            </w:r>
          </w:p>
          <w:p>
            <w:pPr>
              <w:jc w:val="left"/>
              <w:textAlignment w:val="baseline"/>
              <w:rPr>
                <w:rFonts w:hint="eastAsia" w:ascii="仿宋_GB2312" w:hAnsi="仿宋_GB2312" w:eastAsia="仿宋_GB2312" w:cs="Times New Roman"/>
                <w:bCs/>
                <w:color w:val="000000" w:themeColor="text1"/>
                <w:sz w:val="24"/>
                <w:szCs w:val="24"/>
                <w14:textFill>
                  <w14:solidFill>
                    <w14:schemeClr w14:val="tx1"/>
                  </w14:solidFill>
                </w14:textFill>
              </w:rPr>
            </w:pPr>
            <w:r>
              <w:rPr>
                <w:rStyle w:val="18"/>
                <w:rFonts w:hint="eastAsia" w:ascii="仿宋_GB2312" w:hAnsi="仿宋_GB2312" w:eastAsia="仿宋_GB2312"/>
                <w:bCs/>
                <w:color w:val="000000" w:themeColor="text1"/>
                <w:sz w:val="24"/>
                <w:szCs w:val="24"/>
                <w:lang w:val="en-US" w:eastAsia="zh-CN"/>
                <w14:textFill>
                  <w14:solidFill>
                    <w14:schemeClr w14:val="tx1"/>
                  </w14:solidFill>
                </w14:textFill>
              </w:rPr>
              <w:t>（2）旅游翻译特色建设。翻译专业硕士学位点培育建设，以服务国家发展战略、服务“一带一路”沿线国家发展需要、服务长三角地区及上海经济发展需求，以国家级精品课程《模拟导游》、教育部精品课程《领队英语》、教育部优秀教学成果二等奖“出境旅游领队（陪同翻译）”开发与建设项目、“傅雷翻译计划”项目以及全国外语类民办高校 “三进”试点单位为建设基础，弘扬上海红色旅游文化、海派文化、传播《习近平谈治国理政》思想、宣传海派文化，传承“傅雷精神”为目标，向外国人宣传中国共产党的中国形象，讲好中国故事，聚焦翻译实践和国际传播，重点培育旅游翻译成果，拓展新业态下的旅游翻译项目，创建上外贤达学院“旅游翻译”特色品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9" w:hRule="atLeast"/>
        </w:trPr>
        <w:tc>
          <w:tcPr>
            <w:tcW w:w="1124" w:type="dxa"/>
            <w:vMerge w:val="restart"/>
            <w:noWrap w:val="0"/>
            <w:vAlign w:val="center"/>
          </w:tcPr>
          <w:p>
            <w:pPr>
              <w:widowControl/>
              <w:jc w:val="left"/>
              <w:textAlignment w:val="center"/>
              <w:rPr>
                <w:rFonts w:hint="eastAsia" w:ascii="仿宋_GB2312" w:hAnsi="仿宋_GB2312" w:eastAsia="仿宋_GB2312" w:cs="仿宋_GB2312"/>
                <w:bCs/>
                <w:color w:val="000000"/>
                <w:sz w:val="24"/>
                <w:szCs w:val="24"/>
              </w:rPr>
            </w:pPr>
            <w:r>
              <w:rPr>
                <w:rFonts w:hint="eastAsia" w:ascii="仿宋_GB2312" w:hAnsi="仿宋_GB2312" w:eastAsia="仿宋_GB2312" w:cs="仿宋_GB2312"/>
                <w:bCs/>
                <w:color w:val="000000"/>
                <w:kern w:val="0"/>
                <w:sz w:val="24"/>
                <w:szCs w:val="24"/>
                <w:lang w:bidi="ar"/>
              </w:rPr>
              <w:t>二、学科队伍</w:t>
            </w:r>
          </w:p>
        </w:tc>
        <w:tc>
          <w:tcPr>
            <w:tcW w:w="1855" w:type="dxa"/>
            <w:noWrap w:val="0"/>
            <w:vAlign w:val="center"/>
          </w:tcPr>
          <w:p>
            <w:pPr>
              <w:widowControl/>
              <w:jc w:val="left"/>
              <w:textAlignment w:val="center"/>
              <w:rPr>
                <w:rFonts w:hint="eastAsia" w:ascii="仿宋_GB2312" w:hAnsi="仿宋_GB2312" w:eastAsia="仿宋_GB2312" w:cs="仿宋_GB2312"/>
                <w:bCs/>
                <w:color w:val="000000" w:themeColor="text1"/>
                <w:sz w:val="24"/>
                <w:szCs w:val="24"/>
                <w14:textFill>
                  <w14:solidFill>
                    <w14:schemeClr w14:val="tx1"/>
                  </w14:solidFill>
                </w14:textFill>
              </w:rPr>
            </w:pPr>
            <w:r>
              <w:rPr>
                <w:rFonts w:hint="eastAsia" w:ascii="仿宋_GB2312" w:hAnsi="仿宋_GB2312" w:eastAsia="仿宋_GB2312" w:cs="仿宋_GB2312"/>
                <w:bCs/>
                <w:color w:val="000000" w:themeColor="text1"/>
                <w:kern w:val="0"/>
                <w:sz w:val="24"/>
                <w:szCs w:val="24"/>
                <w:lang w:bidi="ar"/>
                <w14:textFill>
                  <w14:solidFill>
                    <w14:schemeClr w14:val="tx1"/>
                  </w14:solidFill>
                </w14:textFill>
              </w:rPr>
              <w:t>3.人员规模</w:t>
            </w:r>
          </w:p>
        </w:tc>
        <w:tc>
          <w:tcPr>
            <w:tcW w:w="2919" w:type="dxa"/>
            <w:noWrap w:val="0"/>
            <w:vAlign w:val="center"/>
          </w:tcPr>
          <w:p>
            <w:pPr>
              <w:jc w:val="left"/>
              <w:textAlignment w:val="baseline"/>
              <w:rPr>
                <w:rFonts w:ascii="仿宋_GB2312" w:hAnsi="仿宋_GB2312" w:eastAsia="仿宋_GB2312" w:cs="Times New Roman"/>
                <w:bCs/>
                <w:color w:val="000000" w:themeColor="text1"/>
                <w:sz w:val="24"/>
                <w:szCs w:val="24"/>
                <w14:textFill>
                  <w14:solidFill>
                    <w14:schemeClr w14:val="tx1"/>
                  </w14:solidFill>
                </w14:textFill>
              </w:rPr>
            </w:pPr>
            <w:r>
              <w:rPr>
                <w:rFonts w:hint="eastAsia" w:ascii="Times New Roman" w:hAnsi="Times New Roman" w:eastAsia="仿宋_GB2312" w:cs="宋体"/>
                <w:color w:val="000000" w:themeColor="text1"/>
                <w:sz w:val="24"/>
                <w:szCs w:val="24"/>
                <w14:textFill>
                  <w14:solidFill>
                    <w14:schemeClr w14:val="tx1"/>
                  </w14:solidFill>
                </w14:textFill>
              </w:rPr>
              <w:t>专任教师</w:t>
            </w:r>
            <w:r>
              <w:rPr>
                <w:rFonts w:hint="eastAsia" w:ascii="Times New Roman" w:hAnsi="Times New Roman" w:eastAsia="仿宋_GB2312" w:cs="宋体"/>
                <w:color w:val="000000" w:themeColor="text1"/>
                <w:kern w:val="0"/>
                <w:sz w:val="24"/>
                <w:szCs w:val="24"/>
                <w14:textFill>
                  <w14:solidFill>
                    <w14:schemeClr w14:val="tx1"/>
                  </w14:solidFill>
                </w14:textFill>
              </w:rPr>
              <w:t>43人，</w:t>
            </w:r>
            <w:r>
              <w:rPr>
                <w:rFonts w:hint="eastAsia" w:ascii="Times New Roman" w:hAnsi="Times New Roman" w:eastAsia="仿宋_GB2312" w:cs="宋体"/>
                <w:color w:val="000000" w:themeColor="text1"/>
                <w:sz w:val="24"/>
                <w:szCs w:val="24"/>
                <w14:textFill>
                  <w14:solidFill>
                    <w14:schemeClr w14:val="tx1"/>
                  </w14:solidFill>
                </w14:textFill>
              </w:rPr>
              <w:t>行业教师44人。</w:t>
            </w:r>
          </w:p>
        </w:tc>
        <w:tc>
          <w:tcPr>
            <w:tcW w:w="2712" w:type="dxa"/>
            <w:noWrap w:val="0"/>
            <w:vAlign w:val="center"/>
          </w:tcPr>
          <w:p>
            <w:pPr>
              <w:jc w:val="left"/>
              <w:textAlignment w:val="baseline"/>
              <w:rPr>
                <w:rFonts w:hint="eastAsia" w:ascii="仿宋_GB2312" w:hAnsi="仿宋_GB2312" w:eastAsia="仿宋_GB2312" w:cs="Times New Roman"/>
                <w:bCs/>
                <w:color w:val="000000" w:themeColor="text1"/>
                <w:sz w:val="24"/>
                <w:szCs w:val="24"/>
                <w14:textFill>
                  <w14:solidFill>
                    <w14:schemeClr w14:val="tx1"/>
                  </w14:solidFill>
                </w14:textFill>
              </w:rPr>
            </w:pPr>
            <w:r>
              <w:rPr>
                <w:rFonts w:hint="eastAsia" w:ascii="Times New Roman" w:hAnsi="Times New Roman" w:eastAsia="仿宋_GB2312" w:cs="宋体"/>
                <w:color w:val="000000" w:themeColor="text1"/>
                <w:sz w:val="24"/>
                <w:szCs w:val="24"/>
                <w14:textFill>
                  <w14:solidFill>
                    <w14:schemeClr w14:val="tx1"/>
                  </w14:solidFill>
                </w14:textFill>
              </w:rPr>
              <w:t>专任教师</w:t>
            </w:r>
            <w:r>
              <w:rPr>
                <w:rFonts w:hint="eastAsia" w:ascii="Times New Roman" w:hAnsi="Times New Roman" w:eastAsia="仿宋_GB2312" w:cs="宋体"/>
                <w:color w:val="000000" w:themeColor="text1"/>
                <w:kern w:val="0"/>
                <w:sz w:val="24"/>
                <w:szCs w:val="24"/>
                <w14:textFill>
                  <w14:solidFill>
                    <w14:schemeClr w14:val="tx1"/>
                  </w14:solidFill>
                </w14:textFill>
              </w:rPr>
              <w:t>1</w:t>
            </w:r>
            <w:r>
              <w:rPr>
                <w:rFonts w:hint="eastAsia" w:eastAsia="仿宋_GB2312" w:cs="宋体"/>
                <w:color w:val="000000" w:themeColor="text1"/>
                <w:kern w:val="0"/>
                <w:sz w:val="24"/>
                <w:szCs w:val="24"/>
                <w:lang w:val="en-US" w:eastAsia="zh-CN"/>
                <w14:textFill>
                  <w14:solidFill>
                    <w14:schemeClr w14:val="tx1"/>
                  </w14:solidFill>
                </w14:textFill>
              </w:rPr>
              <w:t>5</w:t>
            </w:r>
            <w:r>
              <w:rPr>
                <w:rFonts w:hint="eastAsia" w:ascii="Times New Roman" w:hAnsi="Times New Roman" w:eastAsia="仿宋_GB2312" w:cs="宋体"/>
                <w:color w:val="000000" w:themeColor="text1"/>
                <w:kern w:val="0"/>
                <w:sz w:val="24"/>
                <w:szCs w:val="24"/>
                <w14:textFill>
                  <w14:solidFill>
                    <w14:schemeClr w14:val="tx1"/>
                  </w14:solidFill>
                </w14:textFill>
              </w:rPr>
              <w:t>人</w:t>
            </w:r>
            <w:r>
              <w:rPr>
                <w:rFonts w:hint="eastAsia" w:eastAsia="仿宋_GB2312" w:cs="宋体"/>
                <w:color w:val="000000" w:themeColor="text1"/>
                <w:kern w:val="0"/>
                <w:sz w:val="24"/>
                <w:szCs w:val="24"/>
                <w:lang w:eastAsia="zh-CN"/>
                <w14:textFill>
                  <w14:solidFill>
                    <w14:schemeClr w14:val="tx1"/>
                  </w14:solidFill>
                </w14:textFill>
              </w:rPr>
              <w:t>；</w:t>
            </w:r>
            <w:r>
              <w:rPr>
                <w:rFonts w:hint="eastAsia" w:eastAsia="仿宋_GB2312" w:cs="宋体"/>
                <w:color w:val="000000" w:themeColor="text1"/>
                <w:kern w:val="0"/>
                <w:sz w:val="24"/>
                <w:szCs w:val="24"/>
                <w:lang w:val="en-US" w:eastAsia="zh-CN"/>
                <w14:textFill>
                  <w14:solidFill>
                    <w14:schemeClr w14:val="tx1"/>
                  </w14:solidFill>
                </w14:textFill>
              </w:rPr>
              <w:t>骨干教师，10人；</w:t>
            </w:r>
            <w:r>
              <w:rPr>
                <w:rFonts w:hint="eastAsia" w:ascii="Times New Roman" w:hAnsi="Times New Roman" w:eastAsia="仿宋_GB2312" w:cs="宋体"/>
                <w:color w:val="000000" w:themeColor="text1"/>
                <w:sz w:val="24"/>
                <w:szCs w:val="24"/>
                <w14:textFill>
                  <w14:solidFill>
                    <w14:schemeClr w14:val="tx1"/>
                  </w14:solidFill>
                </w14:textFill>
              </w:rPr>
              <w:t>行业教师5人。</w:t>
            </w:r>
            <w:r>
              <w:rPr>
                <w:rStyle w:val="18"/>
                <w:rFonts w:ascii="仿宋_GB2312" w:hAnsi="仿宋_GB2312" w:eastAsia="仿宋_GB2312"/>
                <w:bCs/>
                <w:color w:val="000000" w:themeColor="text1"/>
                <w:sz w:val="24"/>
                <w:szCs w:val="24"/>
                <w14:textFill>
                  <w14:solidFill>
                    <w14:schemeClr w14:val="tx1"/>
                  </w14:solidFill>
                </w14:textFill>
              </w:rPr>
              <w:t>生师比不超17：</w:t>
            </w:r>
            <w:r>
              <w:rPr>
                <w:rStyle w:val="18"/>
                <w:rFonts w:hint="eastAsia" w:ascii="仿宋_GB2312" w:hAnsi="仿宋_GB2312" w:eastAsia="仿宋_GB2312"/>
                <w:bCs/>
                <w:color w:val="000000" w:themeColor="text1"/>
                <w:sz w:val="24"/>
                <w:szCs w:val="24"/>
                <w14:textFill>
                  <w14:solidFill>
                    <w14:schemeClr w14:val="tx1"/>
                  </w14:solidFill>
                </w14:textFill>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9" w:hRule="atLeast"/>
        </w:trPr>
        <w:tc>
          <w:tcPr>
            <w:tcW w:w="1124" w:type="dxa"/>
            <w:vMerge w:val="continue"/>
            <w:noWrap w:val="0"/>
            <w:vAlign w:val="center"/>
          </w:tcPr>
          <w:p>
            <w:pPr>
              <w:jc w:val="left"/>
              <w:rPr>
                <w:rFonts w:hint="eastAsia" w:ascii="仿宋_GB2312" w:hAnsi="仿宋_GB2312" w:eastAsia="仿宋_GB2312" w:cs="仿宋_GB2312"/>
                <w:bCs/>
                <w:color w:val="000000"/>
                <w:sz w:val="24"/>
                <w:szCs w:val="24"/>
              </w:rPr>
            </w:pPr>
          </w:p>
        </w:tc>
        <w:tc>
          <w:tcPr>
            <w:tcW w:w="1855" w:type="dxa"/>
            <w:noWrap w:val="0"/>
            <w:vAlign w:val="center"/>
          </w:tcPr>
          <w:p>
            <w:pPr>
              <w:widowControl/>
              <w:jc w:val="left"/>
              <w:textAlignment w:val="center"/>
              <w:rPr>
                <w:rFonts w:hint="eastAsia" w:ascii="仿宋_GB2312" w:hAnsi="仿宋_GB2312" w:eastAsia="仿宋_GB2312" w:cs="仿宋_GB2312"/>
                <w:bCs/>
                <w:color w:val="000000"/>
                <w:sz w:val="24"/>
                <w:szCs w:val="24"/>
              </w:rPr>
            </w:pPr>
            <w:r>
              <w:rPr>
                <w:rFonts w:hint="eastAsia" w:ascii="仿宋_GB2312" w:hAnsi="仿宋_GB2312" w:eastAsia="仿宋_GB2312" w:cs="仿宋_GB2312"/>
                <w:bCs/>
                <w:color w:val="000000"/>
                <w:kern w:val="0"/>
                <w:sz w:val="24"/>
                <w:szCs w:val="24"/>
                <w:lang w:bidi="ar"/>
              </w:rPr>
              <w:t>4.人员结构</w:t>
            </w:r>
          </w:p>
        </w:tc>
        <w:tc>
          <w:tcPr>
            <w:tcW w:w="2919" w:type="dxa"/>
            <w:noWrap w:val="0"/>
            <w:vAlign w:val="center"/>
          </w:tcPr>
          <w:p>
            <w:pPr>
              <w:jc w:val="left"/>
              <w:textAlignment w:val="baseline"/>
              <w:rPr>
                <w:rFonts w:ascii="仿宋_GB2312" w:hAnsi="仿宋_GB2312" w:eastAsia="仿宋_GB2312" w:cs="Times New Roman"/>
                <w:bCs/>
                <w:color w:val="000000"/>
                <w:sz w:val="24"/>
                <w:szCs w:val="24"/>
              </w:rPr>
            </w:pPr>
            <w:r>
              <w:rPr>
                <w:rStyle w:val="18"/>
                <w:rFonts w:hint="eastAsia" w:ascii="仿宋_GB2312" w:hAnsi="仿宋_GB2312" w:eastAsia="仿宋_GB2312"/>
                <w:bCs/>
                <w:color w:val="000000"/>
                <w:sz w:val="24"/>
                <w:szCs w:val="24"/>
              </w:rPr>
              <w:t>专任教师中，正高级5人、副高级4人、中级16人、其他18人。博士学位3人。</w:t>
            </w:r>
          </w:p>
        </w:tc>
        <w:tc>
          <w:tcPr>
            <w:tcW w:w="2712" w:type="dxa"/>
            <w:noWrap w:val="0"/>
            <w:vAlign w:val="center"/>
          </w:tcPr>
          <w:p>
            <w:pPr>
              <w:jc w:val="left"/>
              <w:textAlignment w:val="baseline"/>
              <w:rPr>
                <w:rFonts w:ascii="仿宋_GB2312" w:hAnsi="仿宋_GB2312" w:eastAsia="仿宋_GB2312" w:cs="Times New Roman"/>
                <w:bCs/>
                <w:color w:val="000000"/>
                <w:sz w:val="24"/>
                <w:szCs w:val="24"/>
              </w:rPr>
            </w:pPr>
            <w:r>
              <w:rPr>
                <w:rStyle w:val="18"/>
                <w:rFonts w:hint="eastAsia" w:ascii="仿宋_GB2312" w:hAnsi="仿宋_GB2312" w:eastAsia="仿宋_GB2312"/>
                <w:bCs/>
                <w:color w:val="000000"/>
                <w:sz w:val="24"/>
                <w:szCs w:val="24"/>
              </w:rPr>
              <w:t>专任教师中，正高级8人、副高级2人。博士学位8人。行业经历教师</w:t>
            </w:r>
            <w:r>
              <w:rPr>
                <w:rStyle w:val="18"/>
                <w:rFonts w:hint="eastAsia" w:ascii="仿宋_GB2312" w:hAnsi="仿宋_GB2312" w:eastAsia="仿宋_GB2312"/>
                <w:bCs/>
                <w:color w:val="000000"/>
                <w:sz w:val="24"/>
                <w:szCs w:val="24"/>
                <w:lang w:val="en-US" w:eastAsia="zh-CN"/>
              </w:rPr>
              <w:t>5</w:t>
            </w:r>
            <w:r>
              <w:rPr>
                <w:rStyle w:val="18"/>
                <w:rFonts w:hint="eastAsia" w:ascii="仿宋_GB2312" w:hAnsi="仿宋_GB2312" w:eastAsia="仿宋_GB2312"/>
                <w:bCs/>
                <w:color w:val="000000"/>
                <w:sz w:val="24"/>
                <w:szCs w:val="24"/>
              </w:rPr>
              <w:t>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9" w:hRule="atLeast"/>
        </w:trPr>
        <w:tc>
          <w:tcPr>
            <w:tcW w:w="1124" w:type="dxa"/>
            <w:vMerge w:val="continue"/>
            <w:noWrap w:val="0"/>
            <w:vAlign w:val="center"/>
          </w:tcPr>
          <w:p>
            <w:pPr>
              <w:jc w:val="left"/>
              <w:rPr>
                <w:rFonts w:hint="eastAsia" w:ascii="仿宋_GB2312" w:hAnsi="仿宋_GB2312" w:eastAsia="仿宋_GB2312" w:cs="仿宋_GB2312"/>
                <w:bCs/>
                <w:color w:val="000000"/>
                <w:sz w:val="24"/>
                <w:szCs w:val="24"/>
              </w:rPr>
            </w:pPr>
          </w:p>
        </w:tc>
        <w:tc>
          <w:tcPr>
            <w:tcW w:w="1855" w:type="dxa"/>
            <w:noWrap w:val="0"/>
            <w:vAlign w:val="center"/>
          </w:tcPr>
          <w:p>
            <w:pPr>
              <w:widowControl/>
              <w:jc w:val="left"/>
              <w:textAlignment w:val="center"/>
              <w:rPr>
                <w:rFonts w:hint="eastAsia" w:ascii="仿宋_GB2312" w:hAnsi="仿宋_GB2312" w:eastAsia="仿宋_GB2312" w:cs="仿宋_GB2312"/>
                <w:bCs/>
                <w:color w:val="000000"/>
                <w:sz w:val="24"/>
                <w:szCs w:val="24"/>
              </w:rPr>
            </w:pPr>
            <w:r>
              <w:rPr>
                <w:rFonts w:hint="eastAsia" w:ascii="仿宋_GB2312" w:hAnsi="仿宋_GB2312" w:eastAsia="仿宋_GB2312" w:cs="仿宋_GB2312"/>
                <w:bCs/>
                <w:color w:val="000000"/>
                <w:kern w:val="0"/>
                <w:sz w:val="24"/>
                <w:szCs w:val="24"/>
                <w:lang w:bidi="ar"/>
              </w:rPr>
              <w:t>5.学科带头人与学术骨干</w:t>
            </w:r>
          </w:p>
        </w:tc>
        <w:tc>
          <w:tcPr>
            <w:tcW w:w="2919" w:type="dxa"/>
            <w:noWrap w:val="0"/>
            <w:vAlign w:val="center"/>
          </w:tcPr>
          <w:p>
            <w:pPr>
              <w:jc w:val="left"/>
              <w:textAlignment w:val="baseline"/>
              <w:rPr>
                <w:rFonts w:hint="eastAsia" w:ascii="仿宋_GB2312" w:hAnsi="仿宋_GB2312" w:eastAsia="仿宋_GB2312" w:cs="Times New Roman"/>
                <w:bCs/>
                <w:color w:val="000000"/>
                <w:sz w:val="24"/>
                <w:szCs w:val="24"/>
              </w:rPr>
            </w:pPr>
            <w:r>
              <w:rPr>
                <w:rFonts w:ascii="仿宋_GB2312" w:hAnsi="仿宋_GB2312" w:eastAsia="仿宋_GB2312" w:cs="Times New Roman"/>
                <w:bCs/>
                <w:color w:val="000000"/>
                <w:sz w:val="24"/>
                <w:szCs w:val="24"/>
              </w:rPr>
              <w:t>3</w:t>
            </w:r>
            <w:r>
              <w:rPr>
                <w:rFonts w:hint="eastAsia" w:ascii="仿宋_GB2312" w:hAnsi="仿宋_GB2312" w:eastAsia="仿宋_GB2312" w:cs="Times New Roman"/>
                <w:bCs/>
                <w:color w:val="000000"/>
                <w:sz w:val="24"/>
                <w:szCs w:val="24"/>
              </w:rPr>
              <w:t>人</w:t>
            </w:r>
          </w:p>
        </w:tc>
        <w:tc>
          <w:tcPr>
            <w:tcW w:w="2712" w:type="dxa"/>
            <w:noWrap w:val="0"/>
            <w:vAlign w:val="center"/>
          </w:tcPr>
          <w:p>
            <w:pPr>
              <w:jc w:val="left"/>
              <w:textAlignment w:val="baseline"/>
              <w:rPr>
                <w:rFonts w:hint="eastAsia" w:ascii="仿宋_GB2312" w:hAnsi="仿宋_GB2312" w:eastAsia="仿宋_GB2312" w:cs="Times New Roman"/>
                <w:bCs/>
                <w:color w:val="000000"/>
                <w:sz w:val="24"/>
                <w:szCs w:val="24"/>
              </w:rPr>
            </w:pPr>
            <w:r>
              <w:rPr>
                <w:rFonts w:ascii="仿宋_GB2312" w:hAnsi="仿宋_GB2312" w:eastAsia="仿宋_GB2312" w:cs="Times New Roman"/>
                <w:bCs/>
                <w:color w:val="000000"/>
                <w:sz w:val="24"/>
                <w:szCs w:val="24"/>
              </w:rPr>
              <w:t>6</w:t>
            </w:r>
            <w:r>
              <w:rPr>
                <w:rFonts w:hint="eastAsia" w:ascii="仿宋_GB2312" w:hAnsi="仿宋_GB2312" w:eastAsia="仿宋_GB2312" w:cs="Times New Roman"/>
                <w:bCs/>
                <w:color w:val="000000"/>
                <w:sz w:val="24"/>
                <w:szCs w:val="24"/>
              </w:rPr>
              <w:t>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9" w:hRule="atLeast"/>
        </w:trPr>
        <w:tc>
          <w:tcPr>
            <w:tcW w:w="1124" w:type="dxa"/>
            <w:vMerge w:val="restart"/>
            <w:noWrap w:val="0"/>
            <w:vAlign w:val="center"/>
          </w:tcPr>
          <w:p>
            <w:pPr>
              <w:widowControl/>
              <w:jc w:val="left"/>
              <w:textAlignment w:val="center"/>
              <w:rPr>
                <w:rFonts w:hint="eastAsia" w:ascii="仿宋_GB2312" w:hAnsi="仿宋_GB2312" w:eastAsia="仿宋_GB2312" w:cs="仿宋_GB2312"/>
                <w:bCs/>
                <w:color w:val="000000"/>
                <w:sz w:val="24"/>
                <w:szCs w:val="24"/>
              </w:rPr>
            </w:pPr>
            <w:r>
              <w:rPr>
                <w:rFonts w:hint="eastAsia" w:ascii="仿宋_GB2312" w:hAnsi="仿宋_GB2312" w:eastAsia="仿宋_GB2312" w:cs="仿宋_GB2312"/>
                <w:bCs/>
                <w:color w:val="000000"/>
                <w:kern w:val="0"/>
                <w:sz w:val="24"/>
                <w:szCs w:val="24"/>
                <w:lang w:bidi="ar"/>
              </w:rPr>
              <w:t>三、人才培养</w:t>
            </w:r>
          </w:p>
        </w:tc>
        <w:tc>
          <w:tcPr>
            <w:tcW w:w="1855" w:type="dxa"/>
            <w:noWrap w:val="0"/>
            <w:vAlign w:val="center"/>
          </w:tcPr>
          <w:p>
            <w:pPr>
              <w:widowControl/>
              <w:jc w:val="left"/>
              <w:textAlignment w:val="center"/>
              <w:rPr>
                <w:rFonts w:hint="eastAsia" w:ascii="仿宋_GB2312" w:hAnsi="仿宋_GB2312" w:eastAsia="仿宋_GB2312" w:cs="仿宋_GB2312"/>
                <w:bCs/>
                <w:color w:val="000000"/>
                <w:sz w:val="24"/>
                <w:szCs w:val="24"/>
              </w:rPr>
            </w:pPr>
            <w:r>
              <w:rPr>
                <w:rFonts w:hint="eastAsia" w:ascii="仿宋_GB2312" w:hAnsi="仿宋_GB2312" w:eastAsia="仿宋_GB2312" w:cs="仿宋_GB2312"/>
                <w:bCs/>
                <w:color w:val="000000"/>
                <w:kern w:val="0"/>
                <w:sz w:val="24"/>
                <w:szCs w:val="24"/>
                <w:lang w:bidi="ar"/>
              </w:rPr>
              <w:t>6.培养概况</w:t>
            </w:r>
          </w:p>
        </w:tc>
        <w:tc>
          <w:tcPr>
            <w:tcW w:w="2919" w:type="dxa"/>
            <w:noWrap w:val="0"/>
            <w:vAlign w:val="center"/>
          </w:tcPr>
          <w:p>
            <w:pPr>
              <w:jc w:val="left"/>
              <w:textAlignment w:val="baseline"/>
              <w:rPr>
                <w:rFonts w:ascii="仿宋_GB2312" w:hAnsi="仿宋_GB2312" w:eastAsia="仿宋_GB2312" w:cs="Times New Roman"/>
                <w:bCs/>
                <w:color w:val="000000"/>
                <w:sz w:val="24"/>
                <w:szCs w:val="24"/>
              </w:rPr>
            </w:pPr>
            <w:r>
              <w:rPr>
                <w:rFonts w:hint="eastAsia" w:ascii="仿宋_GB2312" w:hAnsi="仿宋_GB2312" w:eastAsia="仿宋_GB2312" w:cs="Times New Roman"/>
                <w:bCs/>
                <w:color w:val="000000"/>
                <w:sz w:val="24"/>
                <w:szCs w:val="24"/>
              </w:rPr>
              <w:t>修业年限：四年，授予文学</w:t>
            </w:r>
            <w:r>
              <w:rPr>
                <w:rStyle w:val="18"/>
                <w:rFonts w:ascii="仿宋_GB2312" w:hAnsi="仿宋_GB2312" w:eastAsia="仿宋_GB2312"/>
                <w:bCs/>
                <w:color w:val="000000"/>
                <w:sz w:val="24"/>
                <w:szCs w:val="24"/>
              </w:rPr>
              <w:t>学士</w:t>
            </w:r>
            <w:r>
              <w:rPr>
                <w:rStyle w:val="18"/>
                <w:rFonts w:hint="eastAsia" w:ascii="仿宋_GB2312" w:hAnsi="仿宋_GB2312" w:eastAsia="仿宋_GB2312"/>
                <w:bCs/>
                <w:color w:val="000000"/>
                <w:sz w:val="24"/>
                <w:szCs w:val="24"/>
              </w:rPr>
              <w:t>学位</w:t>
            </w:r>
          </w:p>
        </w:tc>
        <w:tc>
          <w:tcPr>
            <w:tcW w:w="2712" w:type="dxa"/>
            <w:noWrap w:val="0"/>
            <w:vAlign w:val="center"/>
          </w:tcPr>
          <w:p>
            <w:pPr>
              <w:jc w:val="left"/>
              <w:textAlignment w:val="baseline"/>
              <w:rPr>
                <w:rFonts w:ascii="仿宋_GB2312" w:hAnsi="仿宋_GB2312" w:eastAsia="仿宋_GB2312" w:cs="Times New Roman"/>
                <w:bCs/>
                <w:color w:val="000000"/>
                <w:sz w:val="24"/>
                <w:szCs w:val="24"/>
              </w:rPr>
            </w:pPr>
            <w:r>
              <w:rPr>
                <w:rFonts w:hint="eastAsia" w:ascii="仿宋_GB2312" w:hAnsi="仿宋_GB2312" w:eastAsia="仿宋_GB2312" w:cs="Times New Roman"/>
                <w:bCs/>
                <w:color w:val="000000"/>
                <w:sz w:val="24"/>
                <w:szCs w:val="24"/>
              </w:rPr>
              <w:t>修业年限：二年，授予</w:t>
            </w:r>
            <w:r>
              <w:rPr>
                <w:rFonts w:ascii="仿宋_GB2312" w:hAnsi="仿宋_GB2312" w:eastAsia="仿宋_GB2312" w:cs="Times New Roman"/>
                <w:bCs/>
                <w:color w:val="000000"/>
                <w:sz w:val="24"/>
                <w:szCs w:val="24"/>
              </w:rPr>
              <w:t>翻译硕士</w:t>
            </w:r>
            <w:r>
              <w:rPr>
                <w:rFonts w:hint="eastAsia" w:ascii="仿宋_GB2312" w:hAnsi="仿宋_GB2312" w:eastAsia="仿宋_GB2312" w:cs="Times New Roman"/>
                <w:bCs/>
                <w:color w:val="000000"/>
                <w:sz w:val="24"/>
                <w:szCs w:val="24"/>
              </w:rPr>
              <w:t>专业学位。</w:t>
            </w:r>
            <w:r>
              <w:rPr>
                <w:rStyle w:val="18"/>
                <w:rFonts w:hint="eastAsia" w:ascii="仿宋_GB2312" w:hAnsi="仿宋_GB2312" w:eastAsia="仿宋_GB2312"/>
                <w:bCs/>
                <w:color w:val="000000"/>
                <w:sz w:val="24"/>
                <w:szCs w:val="24"/>
              </w:rPr>
              <w:t>（英语）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9" w:hRule="atLeast"/>
        </w:trPr>
        <w:tc>
          <w:tcPr>
            <w:tcW w:w="1124" w:type="dxa"/>
            <w:vMerge w:val="continue"/>
            <w:noWrap w:val="0"/>
            <w:vAlign w:val="center"/>
          </w:tcPr>
          <w:p>
            <w:pPr>
              <w:jc w:val="left"/>
              <w:rPr>
                <w:rFonts w:hint="eastAsia" w:ascii="仿宋_GB2312" w:hAnsi="仿宋_GB2312" w:eastAsia="仿宋_GB2312" w:cs="仿宋_GB2312"/>
                <w:bCs/>
                <w:color w:val="000000"/>
                <w:sz w:val="24"/>
                <w:szCs w:val="24"/>
              </w:rPr>
            </w:pPr>
          </w:p>
        </w:tc>
        <w:tc>
          <w:tcPr>
            <w:tcW w:w="1855" w:type="dxa"/>
            <w:noWrap w:val="0"/>
            <w:vAlign w:val="center"/>
          </w:tcPr>
          <w:p>
            <w:pPr>
              <w:widowControl/>
              <w:jc w:val="left"/>
              <w:textAlignment w:val="center"/>
              <w:rPr>
                <w:rFonts w:hint="eastAsia" w:ascii="仿宋_GB2312" w:hAnsi="仿宋_GB2312" w:eastAsia="仿宋_GB2312" w:cs="仿宋_GB2312"/>
                <w:bCs/>
                <w:color w:val="000000"/>
                <w:sz w:val="24"/>
                <w:szCs w:val="24"/>
              </w:rPr>
            </w:pPr>
            <w:r>
              <w:rPr>
                <w:rFonts w:hint="eastAsia" w:ascii="仿宋_GB2312" w:hAnsi="仿宋_GB2312" w:eastAsia="仿宋_GB2312" w:cs="仿宋_GB2312"/>
                <w:bCs/>
                <w:color w:val="000000"/>
                <w:kern w:val="0"/>
                <w:sz w:val="24"/>
                <w:szCs w:val="24"/>
                <w:lang w:bidi="ar"/>
              </w:rPr>
              <w:t>7.课程与教学</w:t>
            </w:r>
          </w:p>
        </w:tc>
        <w:tc>
          <w:tcPr>
            <w:tcW w:w="2919" w:type="dxa"/>
            <w:noWrap w:val="0"/>
            <w:vAlign w:val="center"/>
          </w:tcPr>
          <w:p>
            <w:pPr>
              <w:pStyle w:val="8"/>
              <w:widowControl/>
              <w:shd w:val="clear" w:color="auto" w:fill="FFFFFF"/>
              <w:spacing w:before="0" w:beforeAutospacing="0" w:after="170" w:afterAutospacing="0" w:line="280" w:lineRule="atLeast"/>
              <w:rPr>
                <w:rFonts w:ascii="仿宋_GB2312" w:hAnsi="仿宋_GB2312" w:eastAsia="仿宋_GB2312"/>
                <w:bCs/>
                <w:color w:val="000000"/>
                <w:kern w:val="2"/>
                <w:szCs w:val="24"/>
              </w:rPr>
            </w:pPr>
            <w:r>
              <w:rPr>
                <w:rFonts w:hint="eastAsia" w:ascii="仿宋_GB2312" w:hAnsi="仿宋_GB2312" w:eastAsia="仿宋_GB2312"/>
                <w:bCs/>
                <w:color w:val="000000"/>
                <w:kern w:val="2"/>
                <w:szCs w:val="24"/>
              </w:rPr>
              <w:t>课程体系包括：通识教育课程、专业核心课程、培养方向课程、实践教学环节和毕业论文五个部分。</w:t>
            </w:r>
          </w:p>
          <w:p>
            <w:pPr>
              <w:pStyle w:val="8"/>
              <w:widowControl/>
              <w:shd w:val="clear" w:color="auto" w:fill="FFFFFF"/>
              <w:spacing w:before="170" w:beforeAutospacing="0" w:after="170" w:afterAutospacing="0" w:line="280" w:lineRule="atLeast"/>
              <w:rPr>
                <w:rFonts w:hint="eastAsia" w:ascii="仿宋_GB2312" w:hAnsi="仿宋_GB2312" w:eastAsia="仿宋_GB2312"/>
                <w:bCs/>
                <w:color w:val="000000"/>
                <w:kern w:val="2"/>
                <w:szCs w:val="24"/>
              </w:rPr>
            </w:pPr>
            <w:r>
              <w:rPr>
                <w:rFonts w:hint="eastAsia" w:ascii="仿宋_GB2312" w:hAnsi="仿宋_GB2312" w:eastAsia="仿宋_GB2312"/>
                <w:bCs/>
                <w:color w:val="000000"/>
                <w:kern w:val="2"/>
                <w:szCs w:val="24"/>
              </w:rPr>
              <w:t>主要课程:基础英语、高级英语、报刊选读、视听、口语、英语写作、翻译理论与实践、语言理论、语言学概论、主要英语国家文学史及文学作品选读、主要英语国家国情。</w:t>
            </w:r>
          </w:p>
          <w:p>
            <w:pPr>
              <w:pStyle w:val="8"/>
              <w:widowControl/>
              <w:shd w:val="clear" w:color="auto" w:fill="FFFFFF"/>
              <w:spacing w:before="170" w:beforeAutospacing="0" w:after="170" w:afterAutospacing="0" w:line="280" w:lineRule="atLeast"/>
              <w:rPr>
                <w:rFonts w:hint="eastAsia" w:ascii="仿宋_GB2312" w:hAnsi="仿宋_GB2312" w:eastAsia="仿宋_GB2312"/>
                <w:bCs/>
                <w:color w:val="000000"/>
                <w:kern w:val="2"/>
                <w:szCs w:val="24"/>
              </w:rPr>
            </w:pPr>
            <w:r>
              <w:rPr>
                <w:rFonts w:hint="eastAsia" w:ascii="仿宋_GB2312" w:hAnsi="仿宋_GB2312" w:eastAsia="仿宋_GB2312"/>
                <w:bCs/>
                <w:color w:val="000000"/>
                <w:kern w:val="2"/>
                <w:szCs w:val="24"/>
              </w:rPr>
              <w:t>本专业的采用多媒体网络化辅助教学、以学生为中心的课堂教学和及时有效的英语水平测试体系相结合的三位一体式教学模式</w:t>
            </w:r>
          </w:p>
          <w:p>
            <w:pPr>
              <w:pStyle w:val="8"/>
              <w:widowControl/>
              <w:shd w:val="clear" w:color="auto" w:fill="FFFFFF"/>
              <w:spacing w:before="294" w:beforeAutospacing="0" w:after="294" w:afterAutospacing="0"/>
              <w:rPr>
                <w:rFonts w:hint="eastAsia" w:ascii="微软雅黑" w:hAnsi="微软雅黑" w:eastAsia="微软雅黑" w:cs="微软雅黑"/>
                <w:color w:val="000000"/>
                <w:szCs w:val="24"/>
              </w:rPr>
            </w:pPr>
          </w:p>
          <w:p>
            <w:pPr>
              <w:jc w:val="left"/>
              <w:textAlignment w:val="baseline"/>
              <w:rPr>
                <w:rFonts w:hint="eastAsia" w:ascii="仿宋_GB2312" w:hAnsi="仿宋_GB2312" w:eastAsia="仿宋_GB2312" w:cs="Times New Roman"/>
                <w:bCs/>
                <w:color w:val="000000"/>
                <w:sz w:val="24"/>
                <w:szCs w:val="24"/>
              </w:rPr>
            </w:pPr>
          </w:p>
        </w:tc>
        <w:tc>
          <w:tcPr>
            <w:tcW w:w="2712" w:type="dxa"/>
            <w:noWrap w:val="0"/>
            <w:vAlign w:val="center"/>
          </w:tcPr>
          <w:p>
            <w:pPr>
              <w:jc w:val="left"/>
              <w:textAlignment w:val="baseline"/>
              <w:rPr>
                <w:rFonts w:ascii="仿宋_GB2312" w:hAnsi="仿宋_GB2312" w:eastAsia="仿宋_GB2312" w:cs="Times New Roman"/>
                <w:b/>
                <w:color w:val="000000"/>
                <w:sz w:val="24"/>
                <w:szCs w:val="24"/>
              </w:rPr>
            </w:pPr>
            <w:r>
              <w:rPr>
                <w:rFonts w:hint="eastAsia" w:ascii="仿宋_GB2312" w:hAnsi="仿宋_GB2312" w:eastAsia="仿宋_GB2312" w:cs="Times New Roman"/>
                <w:bCs/>
                <w:color w:val="000000"/>
                <w:sz w:val="24"/>
                <w:szCs w:val="24"/>
              </w:rPr>
              <w:t>课程体系包括：必修课程、</w:t>
            </w:r>
            <w:r>
              <w:rPr>
                <w:rFonts w:ascii="仿宋_GB2312" w:hAnsi="仿宋_GB2312" w:eastAsia="仿宋_GB2312" w:cs="Times New Roman"/>
                <w:bCs/>
                <w:color w:val="000000"/>
                <w:sz w:val="24"/>
                <w:szCs w:val="24"/>
              </w:rPr>
              <w:t xml:space="preserve">选修课 </w:t>
            </w:r>
            <w:r>
              <w:rPr>
                <w:rFonts w:hint="eastAsia" w:ascii="仿宋_GB2312" w:hAnsi="仿宋_GB2312" w:eastAsia="仿宋_GB2312" w:cs="Times New Roman"/>
                <w:bCs/>
                <w:color w:val="000000"/>
                <w:sz w:val="24"/>
                <w:szCs w:val="24"/>
              </w:rPr>
              <w:t>、</w:t>
            </w:r>
            <w:r>
              <w:rPr>
                <w:rFonts w:ascii="仿宋_GB2312" w:hAnsi="仿宋_GB2312" w:eastAsia="仿宋_GB2312" w:cs="Times New Roman"/>
                <w:bCs/>
                <w:color w:val="000000"/>
                <w:sz w:val="24"/>
                <w:szCs w:val="24"/>
              </w:rPr>
              <w:t xml:space="preserve">实习实践                 </w:t>
            </w:r>
            <w:r>
              <w:rPr>
                <w:rFonts w:hint="eastAsia" w:ascii="仿宋_GB2312" w:hAnsi="仿宋_GB2312" w:eastAsia="仿宋_GB2312" w:cs="Times New Roman"/>
                <w:b/>
                <w:color w:val="000000"/>
                <w:sz w:val="24"/>
                <w:szCs w:val="24"/>
              </w:rPr>
              <w:t>必修课程包括：</w:t>
            </w:r>
            <w:r>
              <w:rPr>
                <w:rFonts w:ascii="仿宋_GB2312" w:hAnsi="仿宋_GB2312" w:eastAsia="仿宋_GB2312" w:cs="Times New Roman"/>
                <w:b/>
                <w:color w:val="000000"/>
                <w:sz w:val="24"/>
                <w:szCs w:val="24"/>
              </w:rPr>
              <w:t xml:space="preserve"> </w:t>
            </w:r>
          </w:p>
          <w:p>
            <w:pPr>
              <w:jc w:val="left"/>
              <w:textAlignment w:val="baseline"/>
              <w:rPr>
                <w:rFonts w:ascii="仿宋_GB2312" w:hAnsi="仿宋_GB2312" w:eastAsia="仿宋_GB2312" w:cs="Times New Roman"/>
                <w:bCs/>
                <w:color w:val="000000"/>
                <w:sz w:val="24"/>
                <w:szCs w:val="24"/>
              </w:rPr>
            </w:pPr>
            <w:r>
              <w:rPr>
                <w:rFonts w:hint="eastAsia" w:ascii="仿宋_GB2312" w:hAnsi="仿宋_GB2312" w:eastAsia="仿宋_GB2312" w:cs="Times New Roman"/>
                <w:bCs/>
                <w:color w:val="000000"/>
                <w:sz w:val="24"/>
                <w:szCs w:val="24"/>
              </w:rPr>
              <w:t>1、</w:t>
            </w:r>
            <w:r>
              <w:rPr>
                <w:rFonts w:ascii="仿宋_GB2312" w:hAnsi="仿宋_GB2312" w:eastAsia="仿宋_GB2312" w:cs="Times New Roman"/>
                <w:bCs/>
                <w:color w:val="000000"/>
                <w:sz w:val="24"/>
                <w:szCs w:val="24"/>
              </w:rPr>
              <w:t xml:space="preserve">公共基础课：             </w:t>
            </w:r>
          </w:p>
          <w:p>
            <w:pPr>
              <w:jc w:val="left"/>
              <w:textAlignment w:val="baseline"/>
              <w:rPr>
                <w:rFonts w:ascii="仿宋_GB2312" w:hAnsi="仿宋_GB2312" w:eastAsia="仿宋_GB2312" w:cs="Times New Roman"/>
                <w:bCs/>
                <w:color w:val="000000"/>
                <w:sz w:val="24"/>
                <w:szCs w:val="24"/>
              </w:rPr>
            </w:pPr>
            <w:r>
              <w:rPr>
                <w:rFonts w:ascii="仿宋_GB2312" w:hAnsi="仿宋_GB2312" w:eastAsia="仿宋_GB2312" w:cs="Times New Roman"/>
                <w:bCs/>
                <w:color w:val="000000"/>
                <w:sz w:val="24"/>
                <w:szCs w:val="24"/>
              </w:rPr>
              <w:t xml:space="preserve">（1）政治理论                </w:t>
            </w:r>
          </w:p>
          <w:p>
            <w:pPr>
              <w:jc w:val="left"/>
              <w:textAlignment w:val="baseline"/>
              <w:rPr>
                <w:rFonts w:ascii="仿宋_GB2312" w:hAnsi="仿宋_GB2312" w:eastAsia="仿宋_GB2312" w:cs="Times New Roman"/>
                <w:bCs/>
                <w:color w:val="000000"/>
                <w:sz w:val="24"/>
                <w:szCs w:val="24"/>
              </w:rPr>
            </w:pPr>
            <w:r>
              <w:rPr>
                <w:rFonts w:ascii="仿宋_GB2312" w:hAnsi="仿宋_GB2312" w:eastAsia="仿宋_GB2312" w:cs="Times New Roman"/>
                <w:bCs/>
                <w:color w:val="000000"/>
                <w:sz w:val="24"/>
                <w:szCs w:val="24"/>
              </w:rPr>
              <w:t xml:space="preserve">（2）中国语言文化            </w:t>
            </w:r>
          </w:p>
          <w:p>
            <w:pPr>
              <w:jc w:val="left"/>
              <w:textAlignment w:val="baseline"/>
              <w:rPr>
                <w:rFonts w:ascii="仿宋_GB2312" w:hAnsi="仿宋_GB2312" w:eastAsia="仿宋_GB2312" w:cs="Times New Roman"/>
                <w:bCs/>
                <w:color w:val="000000"/>
                <w:sz w:val="24"/>
                <w:szCs w:val="24"/>
              </w:rPr>
            </w:pPr>
            <w:r>
              <w:rPr>
                <w:rFonts w:ascii="仿宋_GB2312" w:hAnsi="仿宋_GB2312" w:eastAsia="仿宋_GB2312" w:cs="Times New Roman"/>
                <w:bCs/>
                <w:color w:val="000000"/>
                <w:sz w:val="24"/>
                <w:szCs w:val="24"/>
              </w:rPr>
              <w:t xml:space="preserve">2.专业必修课：            （1）翻译研究导论           </w:t>
            </w:r>
          </w:p>
          <w:p>
            <w:pPr>
              <w:jc w:val="left"/>
              <w:textAlignment w:val="baseline"/>
              <w:rPr>
                <w:rFonts w:ascii="仿宋_GB2312" w:hAnsi="仿宋_GB2312" w:eastAsia="仿宋_GB2312" w:cs="Times New Roman"/>
                <w:bCs/>
                <w:color w:val="000000"/>
                <w:sz w:val="24"/>
                <w:szCs w:val="24"/>
              </w:rPr>
            </w:pPr>
            <w:r>
              <w:rPr>
                <w:rFonts w:ascii="仿宋_GB2312" w:hAnsi="仿宋_GB2312" w:eastAsia="仿宋_GB2312" w:cs="Times New Roman"/>
                <w:bCs/>
                <w:color w:val="000000"/>
                <w:sz w:val="24"/>
                <w:szCs w:val="24"/>
              </w:rPr>
              <w:t xml:space="preserve">（2）笔译理论与技巧         （3）口译理论与技巧          </w:t>
            </w:r>
          </w:p>
          <w:p>
            <w:pPr>
              <w:jc w:val="left"/>
              <w:textAlignment w:val="baseline"/>
              <w:rPr>
                <w:rFonts w:ascii="仿宋_GB2312" w:hAnsi="仿宋_GB2312" w:eastAsia="仿宋_GB2312" w:cs="Times New Roman"/>
                <w:bCs/>
                <w:color w:val="000000"/>
                <w:sz w:val="24"/>
                <w:szCs w:val="24"/>
              </w:rPr>
            </w:pPr>
            <w:r>
              <w:rPr>
                <w:rFonts w:ascii="仿宋_GB2312" w:hAnsi="仿宋_GB2312" w:eastAsia="仿宋_GB2312" w:cs="Times New Roman"/>
                <w:bCs/>
                <w:color w:val="000000"/>
                <w:sz w:val="24"/>
                <w:szCs w:val="24"/>
              </w:rPr>
              <w:t>3.方向必修课（笔译）</w:t>
            </w:r>
          </w:p>
          <w:p>
            <w:pPr>
              <w:jc w:val="left"/>
              <w:textAlignment w:val="baseline"/>
              <w:rPr>
                <w:rFonts w:ascii="仿宋_GB2312" w:hAnsi="仿宋_GB2312" w:eastAsia="仿宋_GB2312" w:cs="Times New Roman"/>
                <w:bCs/>
                <w:color w:val="000000"/>
                <w:sz w:val="24"/>
                <w:szCs w:val="24"/>
              </w:rPr>
            </w:pPr>
            <w:r>
              <w:rPr>
                <w:rFonts w:hint="eastAsia" w:ascii="仿宋_GB2312" w:hAnsi="仿宋_GB2312" w:eastAsia="仿宋_GB2312" w:cs="Times New Roman"/>
                <w:bCs/>
                <w:color w:val="000000"/>
                <w:sz w:val="24"/>
                <w:szCs w:val="24"/>
              </w:rPr>
              <w:t>（1）</w:t>
            </w:r>
            <w:r>
              <w:rPr>
                <w:rFonts w:ascii="仿宋_GB2312" w:hAnsi="仿宋_GB2312" w:eastAsia="仿宋_GB2312" w:cs="Times New Roman"/>
                <w:bCs/>
                <w:color w:val="000000"/>
                <w:sz w:val="24"/>
                <w:szCs w:val="24"/>
              </w:rPr>
              <w:t>商贸翻译</w:t>
            </w:r>
          </w:p>
          <w:p>
            <w:pPr>
              <w:jc w:val="left"/>
              <w:textAlignment w:val="baseline"/>
              <w:rPr>
                <w:rFonts w:ascii="仿宋_GB2312" w:hAnsi="仿宋_GB2312" w:eastAsia="仿宋_GB2312" w:cs="Times New Roman"/>
                <w:bCs/>
                <w:color w:val="000000"/>
                <w:sz w:val="24"/>
                <w:szCs w:val="24"/>
              </w:rPr>
            </w:pPr>
            <w:r>
              <w:rPr>
                <w:rFonts w:hint="eastAsia" w:ascii="仿宋_GB2312" w:hAnsi="仿宋_GB2312" w:eastAsia="仿宋_GB2312" w:cs="Times New Roman"/>
                <w:bCs/>
                <w:color w:val="000000"/>
                <w:sz w:val="24"/>
                <w:szCs w:val="24"/>
              </w:rPr>
              <w:t>（2）</w:t>
            </w:r>
            <w:r>
              <w:rPr>
                <w:rFonts w:ascii="仿宋_GB2312" w:hAnsi="仿宋_GB2312" w:eastAsia="仿宋_GB2312" w:cs="Times New Roman"/>
                <w:bCs/>
                <w:color w:val="000000"/>
                <w:sz w:val="24"/>
                <w:szCs w:val="24"/>
              </w:rPr>
              <w:t>应用翻译</w:t>
            </w:r>
          </w:p>
          <w:p>
            <w:pPr>
              <w:jc w:val="left"/>
              <w:textAlignment w:val="baseline"/>
              <w:rPr>
                <w:rFonts w:ascii="仿宋_GB2312" w:hAnsi="仿宋_GB2312" w:eastAsia="仿宋_GB2312" w:cs="Times New Roman"/>
                <w:bCs/>
                <w:color w:val="000000"/>
                <w:sz w:val="24"/>
                <w:szCs w:val="24"/>
              </w:rPr>
            </w:pPr>
            <w:r>
              <w:rPr>
                <w:rFonts w:hint="eastAsia" w:ascii="仿宋_GB2312" w:hAnsi="仿宋_GB2312" w:eastAsia="仿宋_GB2312" w:cs="Times New Roman"/>
                <w:bCs/>
                <w:color w:val="000000"/>
                <w:sz w:val="24"/>
                <w:szCs w:val="24"/>
              </w:rPr>
              <w:t>（3）</w:t>
            </w:r>
            <w:r>
              <w:rPr>
                <w:rFonts w:ascii="仿宋_GB2312" w:hAnsi="仿宋_GB2312" w:eastAsia="仿宋_GB2312" w:cs="Times New Roman"/>
                <w:bCs/>
                <w:color w:val="000000"/>
                <w:sz w:val="24"/>
                <w:szCs w:val="24"/>
              </w:rPr>
              <w:t>中西翻译简史</w:t>
            </w:r>
          </w:p>
          <w:p>
            <w:pPr>
              <w:jc w:val="left"/>
              <w:textAlignment w:val="baseline"/>
              <w:rPr>
                <w:rFonts w:ascii="仿宋_GB2312" w:hAnsi="仿宋_GB2312" w:eastAsia="仿宋_GB2312" w:cs="Times New Roman"/>
                <w:bCs/>
                <w:color w:val="000000"/>
                <w:sz w:val="24"/>
                <w:szCs w:val="24"/>
              </w:rPr>
            </w:pPr>
            <w:r>
              <w:rPr>
                <w:rFonts w:ascii="仿宋_GB2312" w:hAnsi="仿宋_GB2312" w:eastAsia="仿宋_GB2312" w:cs="Times New Roman"/>
                <w:b/>
                <w:color w:val="000000"/>
                <w:sz w:val="24"/>
                <w:szCs w:val="24"/>
              </w:rPr>
              <w:t>选修课</w:t>
            </w:r>
            <w:r>
              <w:rPr>
                <w:rFonts w:hint="eastAsia" w:ascii="仿宋_GB2312" w:hAnsi="仿宋_GB2312" w:eastAsia="仿宋_GB2312" w:cs="Times New Roman"/>
                <w:b/>
                <w:color w:val="000000"/>
                <w:sz w:val="24"/>
                <w:szCs w:val="24"/>
              </w:rPr>
              <w:t>课程包括：</w:t>
            </w:r>
            <w:r>
              <w:rPr>
                <w:rFonts w:ascii="仿宋_GB2312" w:hAnsi="仿宋_GB2312" w:eastAsia="仿宋_GB2312" w:cs="Times New Roman"/>
                <w:b/>
                <w:color w:val="000000"/>
                <w:sz w:val="24"/>
                <w:szCs w:val="24"/>
              </w:rPr>
              <w:t xml:space="preserve"> </w:t>
            </w:r>
            <w:r>
              <w:rPr>
                <w:rFonts w:ascii="仿宋_GB2312" w:hAnsi="仿宋_GB2312" w:eastAsia="仿宋_GB2312" w:cs="Times New Roman"/>
                <w:bCs/>
                <w:color w:val="000000"/>
                <w:sz w:val="24"/>
                <w:szCs w:val="24"/>
              </w:rPr>
              <w:t xml:space="preserve">              </w:t>
            </w:r>
          </w:p>
          <w:p>
            <w:pPr>
              <w:jc w:val="left"/>
              <w:textAlignment w:val="baseline"/>
              <w:rPr>
                <w:rFonts w:ascii="仿宋_GB2312" w:hAnsi="仿宋_GB2312" w:eastAsia="仿宋_GB2312" w:cs="Times New Roman"/>
                <w:bCs/>
                <w:color w:val="000000"/>
                <w:sz w:val="24"/>
                <w:szCs w:val="24"/>
              </w:rPr>
            </w:pPr>
            <w:r>
              <w:rPr>
                <w:rFonts w:ascii="仿宋_GB2312" w:hAnsi="仿宋_GB2312" w:eastAsia="仿宋_GB2312" w:cs="Times New Roman"/>
                <w:bCs/>
                <w:color w:val="000000"/>
                <w:sz w:val="24"/>
                <w:szCs w:val="24"/>
              </w:rPr>
              <w:t>1.第二外国语</w:t>
            </w:r>
            <w:r>
              <w:rPr>
                <w:rFonts w:hint="eastAsia" w:ascii="仿宋_GB2312" w:hAnsi="仿宋_GB2312" w:eastAsia="仿宋_GB2312" w:cs="Times New Roman"/>
                <w:bCs/>
                <w:color w:val="000000"/>
                <w:sz w:val="24"/>
                <w:szCs w:val="24"/>
              </w:rPr>
              <w:t>（限选）</w:t>
            </w:r>
            <w:r>
              <w:rPr>
                <w:rFonts w:ascii="仿宋_GB2312" w:hAnsi="仿宋_GB2312" w:eastAsia="仿宋_GB2312" w:cs="Times New Roman"/>
                <w:bCs/>
                <w:color w:val="000000"/>
                <w:sz w:val="24"/>
                <w:szCs w:val="24"/>
              </w:rPr>
              <w:t xml:space="preserve">               </w:t>
            </w:r>
          </w:p>
          <w:p>
            <w:pPr>
              <w:jc w:val="left"/>
              <w:textAlignment w:val="baseline"/>
              <w:rPr>
                <w:rFonts w:ascii="仿宋_GB2312" w:hAnsi="仿宋_GB2312" w:eastAsia="仿宋_GB2312" w:cs="Times New Roman"/>
                <w:bCs/>
                <w:color w:val="000000"/>
                <w:sz w:val="24"/>
                <w:szCs w:val="24"/>
              </w:rPr>
            </w:pPr>
            <w:r>
              <w:rPr>
                <w:rFonts w:ascii="仿宋_GB2312" w:hAnsi="仿宋_GB2312" w:eastAsia="仿宋_GB2312" w:cs="Times New Roman"/>
                <w:bCs/>
                <w:color w:val="000000"/>
                <w:sz w:val="24"/>
                <w:szCs w:val="24"/>
              </w:rPr>
              <w:t xml:space="preserve">2.翻译批评与赏析             </w:t>
            </w:r>
          </w:p>
          <w:p>
            <w:pPr>
              <w:jc w:val="left"/>
              <w:textAlignment w:val="baseline"/>
              <w:rPr>
                <w:rFonts w:ascii="仿宋_GB2312" w:hAnsi="仿宋_GB2312" w:eastAsia="仿宋_GB2312" w:cs="Times New Roman"/>
                <w:bCs/>
                <w:color w:val="000000"/>
                <w:sz w:val="24"/>
                <w:szCs w:val="24"/>
              </w:rPr>
            </w:pPr>
            <w:r>
              <w:rPr>
                <w:rFonts w:ascii="仿宋_GB2312" w:hAnsi="仿宋_GB2312" w:eastAsia="仿宋_GB2312" w:cs="Times New Roman"/>
                <w:bCs/>
                <w:color w:val="000000"/>
                <w:sz w:val="24"/>
                <w:szCs w:val="24"/>
              </w:rPr>
              <w:t xml:space="preserve">3.翻译理论与研究             </w:t>
            </w:r>
          </w:p>
          <w:p>
            <w:pPr>
              <w:jc w:val="left"/>
              <w:textAlignment w:val="baseline"/>
              <w:rPr>
                <w:rFonts w:ascii="仿宋_GB2312" w:hAnsi="仿宋_GB2312" w:eastAsia="仿宋_GB2312" w:cs="Times New Roman"/>
                <w:bCs/>
                <w:color w:val="000000"/>
                <w:sz w:val="24"/>
                <w:szCs w:val="24"/>
              </w:rPr>
            </w:pPr>
            <w:r>
              <w:rPr>
                <w:rFonts w:ascii="仿宋_GB2312" w:hAnsi="仿宋_GB2312" w:eastAsia="仿宋_GB2312" w:cs="Times New Roman"/>
                <w:bCs/>
                <w:color w:val="000000"/>
                <w:sz w:val="24"/>
                <w:szCs w:val="24"/>
              </w:rPr>
              <w:t xml:space="preserve">4.跨文化交际                 </w:t>
            </w:r>
          </w:p>
          <w:p>
            <w:pPr>
              <w:jc w:val="left"/>
              <w:textAlignment w:val="baseline"/>
              <w:rPr>
                <w:rFonts w:ascii="仿宋_GB2312" w:hAnsi="仿宋_GB2312" w:eastAsia="仿宋_GB2312" w:cs="Times New Roman"/>
                <w:bCs/>
                <w:color w:val="000000"/>
                <w:sz w:val="24"/>
                <w:szCs w:val="24"/>
              </w:rPr>
            </w:pPr>
            <w:r>
              <w:rPr>
                <w:rFonts w:ascii="仿宋_GB2312" w:hAnsi="仿宋_GB2312" w:eastAsia="仿宋_GB2312" w:cs="Times New Roman"/>
                <w:bCs/>
                <w:color w:val="000000"/>
                <w:sz w:val="24"/>
                <w:szCs w:val="24"/>
              </w:rPr>
              <w:t xml:space="preserve">5.文体翻译                   </w:t>
            </w:r>
          </w:p>
          <w:p>
            <w:pPr>
              <w:jc w:val="left"/>
              <w:textAlignment w:val="baseline"/>
              <w:rPr>
                <w:rFonts w:ascii="仿宋_GB2312" w:hAnsi="仿宋_GB2312" w:eastAsia="仿宋_GB2312" w:cs="Times New Roman"/>
                <w:bCs/>
                <w:color w:val="000000"/>
                <w:sz w:val="24"/>
                <w:szCs w:val="24"/>
              </w:rPr>
            </w:pPr>
            <w:r>
              <w:rPr>
                <w:rFonts w:ascii="仿宋_GB2312" w:hAnsi="仿宋_GB2312" w:eastAsia="仿宋_GB2312" w:cs="Times New Roman"/>
                <w:bCs/>
                <w:color w:val="000000"/>
                <w:sz w:val="24"/>
                <w:szCs w:val="24"/>
              </w:rPr>
              <w:t xml:space="preserve">6.科技翻译                   </w:t>
            </w:r>
          </w:p>
          <w:p>
            <w:pPr>
              <w:jc w:val="left"/>
              <w:textAlignment w:val="baseline"/>
              <w:rPr>
                <w:rFonts w:ascii="仿宋_GB2312" w:hAnsi="仿宋_GB2312" w:eastAsia="仿宋_GB2312" w:cs="Times New Roman"/>
                <w:bCs/>
                <w:color w:val="000000"/>
                <w:sz w:val="24"/>
                <w:szCs w:val="24"/>
              </w:rPr>
            </w:pPr>
            <w:r>
              <w:rPr>
                <w:rFonts w:ascii="仿宋_GB2312" w:hAnsi="仿宋_GB2312" w:eastAsia="仿宋_GB2312" w:cs="Times New Roman"/>
                <w:bCs/>
                <w:color w:val="000000"/>
                <w:sz w:val="24"/>
                <w:szCs w:val="24"/>
              </w:rPr>
              <w:t xml:space="preserve">7. 视频翻译                  </w:t>
            </w:r>
          </w:p>
          <w:p>
            <w:pPr>
              <w:jc w:val="left"/>
              <w:textAlignment w:val="baseline"/>
              <w:rPr>
                <w:rFonts w:ascii="仿宋_GB2312" w:hAnsi="仿宋_GB2312" w:eastAsia="仿宋_GB2312" w:cs="Times New Roman"/>
                <w:bCs/>
                <w:color w:val="000000"/>
                <w:sz w:val="24"/>
                <w:szCs w:val="24"/>
              </w:rPr>
            </w:pPr>
            <w:r>
              <w:rPr>
                <w:rFonts w:ascii="仿宋_GB2312" w:hAnsi="仿宋_GB2312" w:eastAsia="仿宋_GB2312" w:cs="Times New Roman"/>
                <w:bCs/>
                <w:color w:val="000000"/>
                <w:sz w:val="24"/>
                <w:szCs w:val="24"/>
              </w:rPr>
              <w:t>8.</w:t>
            </w:r>
            <w:r>
              <w:rPr>
                <w:rFonts w:hint="eastAsia" w:ascii="仿宋_GB2312" w:hAnsi="仿宋_GB2312" w:eastAsia="仿宋_GB2312" w:cs="Times New Roman"/>
                <w:bCs/>
                <w:color w:val="000000"/>
                <w:sz w:val="24"/>
                <w:szCs w:val="24"/>
              </w:rPr>
              <w:t>中华古籍翻译</w:t>
            </w:r>
          </w:p>
          <w:p>
            <w:pPr>
              <w:jc w:val="left"/>
              <w:textAlignment w:val="baseline"/>
              <w:rPr>
                <w:rFonts w:ascii="仿宋_GB2312" w:hAnsi="仿宋_GB2312" w:eastAsia="仿宋_GB2312" w:cs="Times New Roman"/>
                <w:bCs/>
                <w:color w:val="000000"/>
                <w:sz w:val="24"/>
                <w:szCs w:val="24"/>
              </w:rPr>
            </w:pPr>
            <w:r>
              <w:rPr>
                <w:rFonts w:hint="eastAsia" w:ascii="Times New Roman" w:hAnsi="Times New Roman" w:eastAsia="宋体" w:cs="Times New Roman"/>
                <w:bCs/>
                <w:color w:val="000000"/>
                <w:sz w:val="24"/>
                <w:szCs w:val="24"/>
              </w:rPr>
              <w:t>9</w:t>
            </w:r>
            <w:r>
              <w:rPr>
                <w:rFonts w:ascii="Times New Roman" w:hAnsi="Times New Roman" w:eastAsia="宋体" w:cs="Times New Roman"/>
                <w:bCs/>
                <w:color w:val="000000"/>
                <w:sz w:val="24"/>
                <w:szCs w:val="24"/>
              </w:rPr>
              <w:t>.</w:t>
            </w:r>
            <w:r>
              <w:rPr>
                <w:rFonts w:ascii="仿宋_GB2312" w:hAnsi="仿宋_GB2312" w:eastAsia="仿宋_GB2312" w:cs="Times New Roman"/>
                <w:bCs/>
                <w:color w:val="000000"/>
                <w:sz w:val="24"/>
                <w:szCs w:val="24"/>
              </w:rPr>
              <w:t xml:space="preserve">旅游翻译                   </w:t>
            </w:r>
          </w:p>
          <w:p>
            <w:pPr>
              <w:jc w:val="left"/>
              <w:textAlignment w:val="baseline"/>
              <w:rPr>
                <w:rFonts w:ascii="仿宋_GB2312" w:hAnsi="仿宋_GB2312" w:eastAsia="仿宋_GB2312" w:cs="Times New Roman"/>
                <w:bCs/>
                <w:color w:val="000000"/>
                <w:sz w:val="24"/>
                <w:szCs w:val="24"/>
              </w:rPr>
            </w:pPr>
            <w:r>
              <w:rPr>
                <w:rFonts w:ascii="仿宋_GB2312" w:hAnsi="仿宋_GB2312" w:eastAsia="仿宋_GB2312" w:cs="Times New Roman"/>
                <w:bCs/>
                <w:color w:val="000000"/>
                <w:sz w:val="24"/>
                <w:szCs w:val="24"/>
              </w:rPr>
              <w:t xml:space="preserve">10.海派文化翻译                </w:t>
            </w:r>
          </w:p>
          <w:p>
            <w:pPr>
              <w:jc w:val="left"/>
              <w:textAlignment w:val="baseline"/>
              <w:rPr>
                <w:rFonts w:ascii="仿宋_GB2312" w:hAnsi="仿宋_GB2312" w:eastAsia="仿宋_GB2312" w:cs="Times New Roman"/>
                <w:bCs/>
                <w:color w:val="000000"/>
                <w:sz w:val="24"/>
                <w:szCs w:val="24"/>
              </w:rPr>
            </w:pPr>
            <w:r>
              <w:rPr>
                <w:rFonts w:ascii="仿宋_GB2312" w:hAnsi="仿宋_GB2312" w:eastAsia="仿宋_GB2312" w:cs="Times New Roman"/>
                <w:bCs/>
                <w:color w:val="000000"/>
                <w:sz w:val="24"/>
                <w:szCs w:val="24"/>
              </w:rPr>
              <w:t xml:space="preserve">11.英语国家文化翻译           </w:t>
            </w:r>
          </w:p>
          <w:p>
            <w:pPr>
              <w:jc w:val="left"/>
              <w:textAlignment w:val="baseline"/>
              <w:rPr>
                <w:rFonts w:ascii="仿宋_GB2312" w:hAnsi="仿宋_GB2312" w:eastAsia="仿宋_GB2312" w:cs="Times New Roman"/>
                <w:bCs/>
                <w:color w:val="000000"/>
                <w:sz w:val="24"/>
                <w:szCs w:val="24"/>
              </w:rPr>
            </w:pPr>
            <w:r>
              <w:rPr>
                <w:rFonts w:ascii="仿宋_GB2312" w:hAnsi="仿宋_GB2312" w:eastAsia="仿宋_GB2312" w:cs="Times New Roman"/>
                <w:bCs/>
                <w:color w:val="000000"/>
                <w:sz w:val="24"/>
                <w:szCs w:val="24"/>
              </w:rPr>
              <w:t xml:space="preserve">12.外交翻译                  </w:t>
            </w:r>
          </w:p>
          <w:p>
            <w:pPr>
              <w:jc w:val="left"/>
              <w:textAlignment w:val="baseline"/>
              <w:rPr>
                <w:rFonts w:ascii="仿宋_GB2312" w:hAnsi="仿宋_GB2312" w:eastAsia="仿宋_GB2312" w:cs="Times New Roman"/>
                <w:bCs/>
                <w:color w:val="000000"/>
                <w:sz w:val="24"/>
                <w:szCs w:val="24"/>
              </w:rPr>
            </w:pPr>
            <w:r>
              <w:rPr>
                <w:rFonts w:ascii="仿宋_GB2312" w:hAnsi="仿宋_GB2312" w:eastAsia="仿宋_GB2312" w:cs="Times New Roman"/>
                <w:bCs/>
                <w:color w:val="000000"/>
                <w:sz w:val="24"/>
                <w:szCs w:val="24"/>
              </w:rPr>
              <w:t xml:space="preserve">13.法律翻译                   </w:t>
            </w:r>
          </w:p>
          <w:p>
            <w:pPr>
              <w:jc w:val="left"/>
              <w:textAlignment w:val="baseline"/>
              <w:rPr>
                <w:rFonts w:ascii="仿宋_GB2312" w:hAnsi="仿宋_GB2312" w:eastAsia="仿宋_GB2312" w:cs="Times New Roman"/>
                <w:bCs/>
                <w:color w:val="000000"/>
                <w:sz w:val="24"/>
                <w:szCs w:val="24"/>
              </w:rPr>
            </w:pPr>
            <w:r>
              <w:rPr>
                <w:rFonts w:ascii="仿宋_GB2312" w:hAnsi="仿宋_GB2312" w:eastAsia="仿宋_GB2312" w:cs="Times New Roman"/>
                <w:bCs/>
                <w:color w:val="000000"/>
                <w:sz w:val="24"/>
                <w:szCs w:val="24"/>
              </w:rPr>
              <w:t xml:space="preserve">14.国际电子商务翻译           </w:t>
            </w:r>
          </w:p>
          <w:p>
            <w:pPr>
              <w:jc w:val="left"/>
              <w:textAlignment w:val="baseline"/>
              <w:rPr>
                <w:rFonts w:ascii="仿宋_GB2312" w:hAnsi="仿宋_GB2312" w:eastAsia="仿宋_GB2312" w:cs="Times New Roman"/>
                <w:bCs/>
                <w:color w:val="000000"/>
                <w:sz w:val="24"/>
                <w:szCs w:val="24"/>
              </w:rPr>
            </w:pPr>
            <w:r>
              <w:rPr>
                <w:rFonts w:ascii="仿宋_GB2312" w:hAnsi="仿宋_GB2312" w:eastAsia="仿宋_GB2312" w:cs="Times New Roman"/>
                <w:bCs/>
                <w:color w:val="000000"/>
                <w:sz w:val="24"/>
                <w:szCs w:val="24"/>
              </w:rPr>
              <w:t xml:space="preserve">15.新闻翻译                  </w:t>
            </w:r>
          </w:p>
          <w:p>
            <w:pPr>
              <w:jc w:val="left"/>
              <w:textAlignment w:val="baseline"/>
              <w:rPr>
                <w:rFonts w:ascii="仿宋_GB2312" w:hAnsi="仿宋_GB2312" w:eastAsia="仿宋_GB2312" w:cs="Times New Roman"/>
                <w:bCs/>
                <w:color w:val="000000"/>
                <w:sz w:val="24"/>
                <w:szCs w:val="24"/>
              </w:rPr>
            </w:pPr>
            <w:r>
              <w:rPr>
                <w:rFonts w:ascii="仿宋_GB2312" w:hAnsi="仿宋_GB2312" w:eastAsia="仿宋_GB2312" w:cs="Times New Roman"/>
                <w:bCs/>
                <w:color w:val="000000"/>
                <w:sz w:val="24"/>
                <w:szCs w:val="24"/>
              </w:rPr>
              <w:t xml:space="preserve">16.模拟会议同声传译          </w:t>
            </w:r>
          </w:p>
          <w:p>
            <w:pPr>
              <w:jc w:val="left"/>
              <w:textAlignment w:val="baseline"/>
              <w:rPr>
                <w:rFonts w:ascii="仿宋_GB2312" w:hAnsi="仿宋_GB2312" w:eastAsia="仿宋_GB2312" w:cs="Times New Roman"/>
                <w:bCs/>
                <w:color w:val="000000"/>
                <w:sz w:val="24"/>
                <w:szCs w:val="24"/>
              </w:rPr>
            </w:pPr>
            <w:r>
              <w:rPr>
                <w:rFonts w:ascii="仿宋_GB2312" w:hAnsi="仿宋_GB2312" w:eastAsia="仿宋_GB2312" w:cs="Times New Roman"/>
                <w:bCs/>
                <w:color w:val="000000"/>
                <w:sz w:val="24"/>
                <w:szCs w:val="24"/>
              </w:rPr>
              <w:t xml:space="preserve">17.会展翻译                  </w:t>
            </w:r>
          </w:p>
          <w:p>
            <w:pPr>
              <w:jc w:val="left"/>
              <w:textAlignment w:val="baseline"/>
              <w:rPr>
                <w:rFonts w:ascii="仿宋_GB2312" w:hAnsi="仿宋_GB2312" w:eastAsia="仿宋_GB2312" w:cs="Times New Roman"/>
                <w:bCs/>
                <w:color w:val="000000"/>
                <w:sz w:val="24"/>
                <w:szCs w:val="24"/>
              </w:rPr>
            </w:pPr>
            <w:r>
              <w:rPr>
                <w:rFonts w:ascii="仿宋_GB2312" w:hAnsi="仿宋_GB2312" w:eastAsia="仿宋_GB2312" w:cs="Times New Roman"/>
                <w:bCs/>
                <w:color w:val="000000"/>
                <w:sz w:val="24"/>
                <w:szCs w:val="24"/>
              </w:rPr>
              <w:t xml:space="preserve">18.计算机辅助翻译             </w:t>
            </w:r>
          </w:p>
          <w:p>
            <w:pPr>
              <w:jc w:val="left"/>
              <w:textAlignment w:val="baseline"/>
              <w:rPr>
                <w:rFonts w:ascii="仿宋_GB2312" w:hAnsi="仿宋_GB2312" w:eastAsia="仿宋_GB2312" w:cs="Times New Roman"/>
                <w:bCs/>
                <w:color w:val="000000"/>
                <w:sz w:val="24"/>
                <w:szCs w:val="24"/>
              </w:rPr>
            </w:pPr>
            <w:r>
              <w:rPr>
                <w:rFonts w:ascii="仿宋_GB2312" w:hAnsi="仿宋_GB2312" w:eastAsia="仿宋_GB2312" w:cs="Times New Roman"/>
                <w:bCs/>
                <w:color w:val="000000"/>
                <w:sz w:val="24"/>
                <w:szCs w:val="24"/>
              </w:rPr>
              <w:t xml:space="preserve">19. 专题笔译                   </w:t>
            </w:r>
          </w:p>
          <w:p>
            <w:pPr>
              <w:jc w:val="left"/>
              <w:textAlignment w:val="baseline"/>
              <w:rPr>
                <w:rFonts w:ascii="仿宋_GB2312" w:hAnsi="仿宋_GB2312" w:eastAsia="仿宋_GB2312" w:cs="Times New Roman"/>
                <w:bCs/>
                <w:color w:val="000000"/>
                <w:sz w:val="24"/>
                <w:szCs w:val="24"/>
              </w:rPr>
            </w:pPr>
            <w:r>
              <w:rPr>
                <w:rFonts w:ascii="仿宋_GB2312" w:hAnsi="仿宋_GB2312" w:eastAsia="仿宋_GB2312" w:cs="Times New Roman"/>
                <w:b/>
                <w:color w:val="000000"/>
                <w:sz w:val="24"/>
                <w:szCs w:val="24"/>
              </w:rPr>
              <w:t>实习实践</w:t>
            </w:r>
            <w:r>
              <w:rPr>
                <w:rFonts w:hint="eastAsia" w:ascii="仿宋_GB2312" w:hAnsi="仿宋_GB2312" w:eastAsia="仿宋_GB2312" w:cs="Times New Roman"/>
                <w:b/>
                <w:color w:val="000000"/>
                <w:sz w:val="24"/>
                <w:szCs w:val="24"/>
              </w:rPr>
              <w:t>课程包括：</w:t>
            </w:r>
            <w:r>
              <w:rPr>
                <w:rFonts w:ascii="仿宋_GB2312" w:hAnsi="仿宋_GB2312" w:eastAsia="仿宋_GB2312" w:cs="Times New Roman"/>
                <w:bCs/>
                <w:color w:val="000000"/>
                <w:sz w:val="24"/>
                <w:szCs w:val="24"/>
              </w:rPr>
              <w:t xml:space="preserve">                                     </w:t>
            </w:r>
            <w:r>
              <w:rPr>
                <w:rFonts w:hint="eastAsia" w:ascii="仿宋_GB2312" w:hAnsi="仿宋_GB2312" w:eastAsia="仿宋_GB2312" w:cs="Times New Roman"/>
                <w:bCs/>
                <w:color w:val="000000"/>
                <w:sz w:val="24"/>
                <w:szCs w:val="24"/>
              </w:rPr>
              <w:t>（1）</w:t>
            </w:r>
            <w:r>
              <w:rPr>
                <w:rFonts w:ascii="仿宋_GB2312" w:hAnsi="仿宋_GB2312" w:eastAsia="仿宋_GB2312" w:cs="Times New Roman"/>
                <w:bCs/>
                <w:color w:val="000000"/>
                <w:sz w:val="24"/>
                <w:szCs w:val="24"/>
              </w:rPr>
              <w:t xml:space="preserve">学分专业学位研究生的实习，采用在（顶）岗工作或实习在内的多种方式进行。                    </w:t>
            </w:r>
            <w:r>
              <w:rPr>
                <w:rFonts w:hint="eastAsia" w:ascii="仿宋_GB2312" w:hAnsi="仿宋_GB2312" w:eastAsia="仿宋_GB2312" w:cs="Times New Roman"/>
                <w:bCs/>
                <w:color w:val="000000"/>
                <w:sz w:val="24"/>
                <w:szCs w:val="24"/>
              </w:rPr>
              <w:t>（2）</w:t>
            </w:r>
            <w:r>
              <w:rPr>
                <w:rFonts w:ascii="仿宋_GB2312" w:hAnsi="仿宋_GB2312" w:eastAsia="仿宋_GB2312" w:cs="Times New Roman"/>
                <w:bCs/>
                <w:color w:val="000000"/>
                <w:sz w:val="24"/>
                <w:szCs w:val="24"/>
              </w:rPr>
              <w:t>学分笔译工作坊（专业学位实践）</w:t>
            </w:r>
          </w:p>
          <w:p>
            <w:pPr>
              <w:jc w:val="left"/>
              <w:textAlignment w:val="baseline"/>
              <w:rPr>
                <w:rFonts w:hint="eastAsia" w:ascii="仿宋_GB2312" w:hAnsi="仿宋_GB2312" w:eastAsia="仿宋_GB2312" w:cs="Times New Roman"/>
                <w:bCs/>
                <w:color w:val="000000"/>
                <w:sz w:val="24"/>
                <w:szCs w:val="24"/>
              </w:rPr>
            </w:pPr>
            <w:r>
              <w:rPr>
                <w:rFonts w:hint="eastAsia" w:ascii="仿宋_GB2312" w:hAnsi="仿宋_GB2312" w:eastAsia="仿宋_GB2312" w:cs="Times New Roman"/>
                <w:bCs/>
                <w:color w:val="000000"/>
                <w:sz w:val="24"/>
                <w:szCs w:val="24"/>
              </w:rPr>
              <w:t>采用</w:t>
            </w:r>
            <w:r>
              <w:rPr>
                <w:rFonts w:ascii="仿宋_GB2312" w:hAnsi="仿宋_GB2312" w:eastAsia="仿宋_GB2312" w:cs="Times New Roman"/>
                <w:bCs/>
                <w:color w:val="000000"/>
                <w:sz w:val="24"/>
                <w:szCs w:val="24"/>
              </w:rPr>
              <w:t>教师讲授与学生参与相结合</w:t>
            </w:r>
            <w:r>
              <w:rPr>
                <w:rFonts w:hint="eastAsia" w:ascii="仿宋_GB2312" w:hAnsi="仿宋_GB2312" w:eastAsia="仿宋_GB2312" w:cs="Times New Roman"/>
                <w:bCs/>
                <w:color w:val="000000"/>
                <w:sz w:val="24"/>
                <w:szCs w:val="24"/>
              </w:rPr>
              <w:t>的教学模式</w:t>
            </w:r>
            <w:r>
              <w:rPr>
                <w:rFonts w:ascii="仿宋_GB2312" w:hAnsi="仿宋_GB2312" w:eastAsia="仿宋_GB2312" w:cs="Times New Roman"/>
                <w:bCs/>
                <w:color w:val="000000"/>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9" w:hRule="atLeast"/>
        </w:trPr>
        <w:tc>
          <w:tcPr>
            <w:tcW w:w="1124" w:type="dxa"/>
            <w:vMerge w:val="continue"/>
            <w:noWrap w:val="0"/>
            <w:vAlign w:val="center"/>
          </w:tcPr>
          <w:p>
            <w:pPr>
              <w:jc w:val="left"/>
              <w:rPr>
                <w:rFonts w:hint="eastAsia" w:ascii="仿宋_GB2312" w:hAnsi="仿宋_GB2312" w:eastAsia="仿宋_GB2312" w:cs="仿宋_GB2312"/>
                <w:bCs/>
                <w:color w:val="000000"/>
                <w:sz w:val="24"/>
                <w:szCs w:val="24"/>
              </w:rPr>
            </w:pPr>
          </w:p>
        </w:tc>
        <w:tc>
          <w:tcPr>
            <w:tcW w:w="1855" w:type="dxa"/>
            <w:noWrap w:val="0"/>
            <w:vAlign w:val="center"/>
          </w:tcPr>
          <w:p>
            <w:pPr>
              <w:widowControl/>
              <w:jc w:val="left"/>
              <w:textAlignment w:val="center"/>
              <w:rPr>
                <w:rFonts w:hint="eastAsia" w:ascii="仿宋_GB2312" w:hAnsi="仿宋_GB2312" w:eastAsia="仿宋_GB2312" w:cs="仿宋_GB2312"/>
                <w:bCs/>
                <w:color w:val="000000"/>
                <w:sz w:val="24"/>
                <w:szCs w:val="24"/>
              </w:rPr>
            </w:pPr>
            <w:r>
              <w:rPr>
                <w:rFonts w:hint="eastAsia" w:ascii="仿宋_GB2312" w:hAnsi="仿宋_GB2312" w:eastAsia="仿宋_GB2312" w:cs="仿宋_GB2312"/>
                <w:bCs/>
                <w:color w:val="000000"/>
                <w:kern w:val="0"/>
                <w:sz w:val="24"/>
                <w:szCs w:val="24"/>
                <w:lang w:bidi="ar"/>
              </w:rPr>
              <w:t>8.培养质量</w:t>
            </w:r>
          </w:p>
        </w:tc>
        <w:tc>
          <w:tcPr>
            <w:tcW w:w="2919" w:type="dxa"/>
            <w:noWrap w:val="0"/>
            <w:vAlign w:val="center"/>
          </w:tcPr>
          <w:p>
            <w:pPr>
              <w:jc w:val="left"/>
              <w:textAlignment w:val="baseline"/>
              <w:rPr>
                <w:rFonts w:hint="eastAsia" w:ascii="仿宋_GB2312" w:hAnsi="仿宋_GB2312" w:eastAsia="仿宋_GB2312" w:cs="Times New Roman"/>
                <w:bCs/>
                <w:color w:val="000000"/>
                <w:sz w:val="24"/>
                <w:szCs w:val="24"/>
              </w:rPr>
            </w:pPr>
            <w:r>
              <w:rPr>
                <w:rFonts w:ascii="Times New Roman" w:hAnsi="Times New Roman" w:eastAsia="仿宋_GB2312" w:cs="Times New Roman"/>
                <w:color w:val="000000"/>
                <w:sz w:val="24"/>
                <w:szCs w:val="24"/>
              </w:rPr>
              <w:t>建成了高效的实践教学体系; 具有系统的创新创业教育体系; 大幅提高人才培养质量，毕业生平均就业率92. 5%，用人单位对毕业生满意率达96%。各类大赛屡屡获奖，社会声誉明显提高获儒易杯全国翻译大赛优胜奖</w:t>
            </w:r>
            <w:r>
              <w:rPr>
                <w:rFonts w:hint="eastAsia" w:ascii="Times New Roman" w:hAnsi="Times New Roman" w:eastAsia="仿宋_GB2312" w:cs="Times New Roman"/>
                <w:color w:val="000000"/>
                <w:sz w:val="24"/>
                <w:szCs w:val="24"/>
              </w:rPr>
              <w:t>。</w:t>
            </w:r>
          </w:p>
        </w:tc>
        <w:tc>
          <w:tcPr>
            <w:tcW w:w="2712" w:type="dxa"/>
            <w:noWrap w:val="0"/>
            <w:vAlign w:val="center"/>
          </w:tcPr>
          <w:p>
            <w:pPr>
              <w:jc w:val="left"/>
              <w:textAlignment w:val="baseline"/>
              <w:rPr>
                <w:rFonts w:hint="eastAsia" w:ascii="仿宋_GB2312" w:hAnsi="仿宋_GB2312" w:eastAsia="仿宋_GB2312" w:cs="Times New Roman"/>
                <w:bCs/>
                <w:color w:val="000000"/>
                <w:sz w:val="24"/>
                <w:szCs w:val="24"/>
              </w:rPr>
            </w:pPr>
            <w:r>
              <w:rPr>
                <w:rFonts w:hint="eastAsia" w:ascii="Times New Roman" w:hAnsi="Times New Roman" w:eastAsia="仿宋_GB2312" w:cs="Times New Roman"/>
                <w:color w:val="000000"/>
                <w:sz w:val="24"/>
                <w:szCs w:val="24"/>
              </w:rPr>
              <w:t>毕业生</w:t>
            </w:r>
            <w:r>
              <w:rPr>
                <w:rFonts w:ascii="Times New Roman" w:hAnsi="Times New Roman" w:eastAsia="仿宋_GB2312" w:cs="Times New Roman"/>
                <w:color w:val="000000"/>
                <w:sz w:val="24"/>
                <w:szCs w:val="24"/>
              </w:rPr>
              <w:t>达到CATTI二级水平</w:t>
            </w:r>
            <w:r>
              <w:rPr>
                <w:rFonts w:hint="eastAsia" w:ascii="Times New Roman" w:hAnsi="Times New Roman" w:eastAsia="仿宋_GB2312" w:cs="Times New Roman"/>
                <w:color w:val="000000"/>
                <w:sz w:val="24"/>
                <w:szCs w:val="24"/>
              </w:rPr>
              <w:t>，</w:t>
            </w:r>
            <w:r>
              <w:rPr>
                <w:rFonts w:ascii="Times New Roman" w:hAnsi="Times New Roman" w:eastAsia="仿宋_GB2312" w:cs="Times New Roman"/>
                <w:color w:val="000000"/>
                <w:sz w:val="24"/>
                <w:szCs w:val="24"/>
              </w:rPr>
              <w:t>大幅提高人才培养质量，毕业生平均就业率</w:t>
            </w:r>
            <w:r>
              <w:rPr>
                <w:rFonts w:hint="eastAsia" w:ascii="Times New Roman" w:hAnsi="Times New Roman" w:eastAsia="仿宋_GB2312" w:cs="Times New Roman"/>
                <w:color w:val="000000"/>
                <w:sz w:val="24"/>
                <w:szCs w:val="24"/>
              </w:rPr>
              <w:t>98</w:t>
            </w:r>
            <w:r>
              <w:rPr>
                <w:rFonts w:ascii="Times New Roman" w:hAnsi="Times New Roman" w:eastAsia="仿宋_GB2312" w:cs="Times New Roman"/>
                <w:color w:val="000000"/>
                <w:sz w:val="24"/>
                <w:szCs w:val="24"/>
              </w:rPr>
              <w:t>%</w:t>
            </w:r>
            <w:r>
              <w:rPr>
                <w:rFonts w:hint="eastAsia" w:ascii="Times New Roman" w:hAnsi="Times New Roman" w:eastAsia="仿宋_GB2312" w:cs="Times New Roman"/>
                <w:color w:val="000000"/>
                <w:sz w:val="24"/>
                <w:szCs w:val="24"/>
              </w:rPr>
              <w:t>以上</w:t>
            </w:r>
            <w:r>
              <w:rPr>
                <w:rFonts w:ascii="Times New Roman" w:hAnsi="Times New Roman" w:eastAsia="仿宋_GB2312" w:cs="Times New Roman"/>
                <w:color w:val="000000"/>
                <w:sz w:val="24"/>
                <w:szCs w:val="24"/>
              </w:rPr>
              <w:t>，用人单位对毕业生满意率达9</w:t>
            </w:r>
            <w:r>
              <w:rPr>
                <w:rFonts w:hint="eastAsia" w:ascii="Times New Roman" w:hAnsi="Times New Roman" w:eastAsia="仿宋_GB2312" w:cs="Times New Roman"/>
                <w:color w:val="000000"/>
                <w:sz w:val="24"/>
                <w:szCs w:val="24"/>
              </w:rPr>
              <w:t>9</w:t>
            </w:r>
            <w:r>
              <w:rPr>
                <w:rFonts w:ascii="Times New Roman" w:hAnsi="Times New Roman" w:eastAsia="仿宋_GB2312" w:cs="Times New Roman"/>
                <w:color w:val="000000"/>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9" w:hRule="atLeast"/>
        </w:trPr>
        <w:tc>
          <w:tcPr>
            <w:tcW w:w="1124" w:type="dxa"/>
            <w:vMerge w:val="restart"/>
            <w:noWrap w:val="0"/>
            <w:vAlign w:val="center"/>
          </w:tcPr>
          <w:p>
            <w:pPr>
              <w:widowControl/>
              <w:jc w:val="left"/>
              <w:textAlignment w:val="center"/>
              <w:rPr>
                <w:rFonts w:hint="eastAsia" w:ascii="仿宋_GB2312" w:hAnsi="仿宋_GB2312" w:eastAsia="仿宋_GB2312" w:cs="仿宋_GB2312"/>
                <w:bCs/>
                <w:color w:val="000000"/>
                <w:sz w:val="24"/>
                <w:szCs w:val="24"/>
              </w:rPr>
            </w:pPr>
            <w:r>
              <w:rPr>
                <w:rFonts w:hint="eastAsia" w:ascii="仿宋_GB2312" w:hAnsi="仿宋_GB2312" w:eastAsia="仿宋_GB2312" w:cs="仿宋_GB2312"/>
                <w:bCs/>
                <w:color w:val="000000"/>
                <w:kern w:val="0"/>
                <w:sz w:val="24"/>
                <w:szCs w:val="24"/>
                <w:lang w:bidi="ar"/>
              </w:rPr>
              <w:t>四、培养环境与条件</w:t>
            </w:r>
          </w:p>
        </w:tc>
        <w:tc>
          <w:tcPr>
            <w:tcW w:w="1855" w:type="dxa"/>
            <w:noWrap w:val="0"/>
            <w:vAlign w:val="center"/>
          </w:tcPr>
          <w:p>
            <w:pPr>
              <w:widowControl/>
              <w:jc w:val="left"/>
              <w:textAlignment w:val="center"/>
              <w:rPr>
                <w:rFonts w:hint="eastAsia" w:ascii="仿宋_GB2312" w:hAnsi="仿宋_GB2312" w:eastAsia="仿宋_GB2312" w:cs="仿宋_GB2312"/>
                <w:bCs/>
                <w:color w:val="000000"/>
                <w:sz w:val="24"/>
                <w:szCs w:val="24"/>
              </w:rPr>
            </w:pPr>
            <w:r>
              <w:rPr>
                <w:rFonts w:hint="eastAsia" w:ascii="仿宋_GB2312" w:hAnsi="仿宋_GB2312" w:eastAsia="仿宋_GB2312" w:cs="仿宋_GB2312"/>
                <w:bCs/>
                <w:color w:val="000000"/>
                <w:kern w:val="0"/>
                <w:sz w:val="24"/>
                <w:szCs w:val="24"/>
                <w:lang w:bidi="ar"/>
              </w:rPr>
              <w:t>9.科学研究</w:t>
            </w:r>
          </w:p>
        </w:tc>
        <w:tc>
          <w:tcPr>
            <w:tcW w:w="2919" w:type="dxa"/>
            <w:noWrap w:val="0"/>
            <w:vAlign w:val="center"/>
          </w:tcPr>
          <w:p>
            <w:pPr>
              <w:jc w:val="left"/>
              <w:textAlignment w:val="baseline"/>
              <w:rPr>
                <w:rFonts w:hint="eastAsia" w:ascii="仿宋_GB2312" w:hAnsi="仿宋_GB2312" w:eastAsia="仿宋_GB2312" w:cs="Times New Roman"/>
                <w:bCs/>
                <w:color w:val="000000"/>
                <w:sz w:val="24"/>
                <w:szCs w:val="24"/>
              </w:rPr>
            </w:pPr>
            <w:r>
              <w:rPr>
                <w:rStyle w:val="18"/>
                <w:rFonts w:ascii="仿宋_GB2312" w:hAnsi="仿宋_GB2312" w:eastAsia="仿宋_GB2312"/>
                <w:bCs/>
                <w:color w:val="000000"/>
                <w:sz w:val="24"/>
                <w:szCs w:val="24"/>
              </w:rPr>
              <w:t>发表10余篇翻译专题论文，</w:t>
            </w:r>
            <w:r>
              <w:rPr>
                <w:rStyle w:val="18"/>
                <w:rFonts w:hint="eastAsia" w:ascii="仿宋_GB2312" w:hAnsi="仿宋_GB2312" w:eastAsia="仿宋_GB2312"/>
                <w:bCs/>
                <w:color w:val="000000"/>
                <w:sz w:val="24"/>
                <w:szCs w:val="24"/>
              </w:rPr>
              <w:t>专业学术论文58篇，成功申报</w:t>
            </w:r>
            <w:r>
              <w:rPr>
                <w:rStyle w:val="18"/>
                <w:rFonts w:ascii="仿宋_GB2312" w:hAnsi="仿宋_GB2312" w:eastAsia="仿宋_GB2312"/>
                <w:bCs/>
                <w:color w:val="000000"/>
                <w:sz w:val="24"/>
                <w:szCs w:val="24"/>
              </w:rPr>
              <w:t>两个社科基金中华学术外译项目</w:t>
            </w:r>
            <w:r>
              <w:rPr>
                <w:rStyle w:val="18"/>
                <w:rFonts w:hint="eastAsia" w:ascii="仿宋_GB2312" w:hAnsi="仿宋_GB2312" w:eastAsia="仿宋_GB2312"/>
                <w:bCs/>
                <w:color w:val="000000"/>
                <w:sz w:val="24"/>
                <w:szCs w:val="24"/>
              </w:rPr>
              <w:t>。</w:t>
            </w:r>
          </w:p>
        </w:tc>
        <w:tc>
          <w:tcPr>
            <w:tcW w:w="2712" w:type="dxa"/>
            <w:noWrap w:val="0"/>
            <w:vAlign w:val="center"/>
          </w:tcPr>
          <w:p>
            <w:pPr>
              <w:jc w:val="left"/>
              <w:textAlignment w:val="baseline"/>
              <w:rPr>
                <w:rFonts w:hint="eastAsia" w:ascii="仿宋_GB2312" w:hAnsi="仿宋_GB2312" w:eastAsia="仿宋_GB2312" w:cs="Times New Roman"/>
                <w:bCs/>
                <w:color w:val="000000"/>
                <w:sz w:val="24"/>
                <w:szCs w:val="24"/>
              </w:rPr>
            </w:pPr>
            <w:r>
              <w:rPr>
                <w:rFonts w:ascii="仿宋_GB2312" w:hAnsi="仿宋_GB2312" w:eastAsia="仿宋_GB2312" w:cs="Times New Roman"/>
                <w:bCs/>
                <w:color w:val="000000"/>
                <w:sz w:val="24"/>
                <w:szCs w:val="24"/>
              </w:rPr>
              <w:t>继续保持现有基础，争取更多国家和省部级</w:t>
            </w:r>
            <w:r>
              <w:rPr>
                <w:rFonts w:hint="eastAsia" w:ascii="仿宋_GB2312" w:hAnsi="仿宋_GB2312" w:eastAsia="仿宋_GB2312" w:cs="Times New Roman"/>
                <w:bCs/>
                <w:color w:val="000000"/>
                <w:sz w:val="24"/>
                <w:szCs w:val="24"/>
              </w:rPr>
              <w:t>科研</w:t>
            </w:r>
            <w:r>
              <w:rPr>
                <w:rFonts w:ascii="仿宋_GB2312" w:hAnsi="仿宋_GB2312" w:eastAsia="仿宋_GB2312" w:cs="Times New Roman"/>
                <w:bCs/>
                <w:color w:val="000000"/>
                <w:sz w:val="24"/>
                <w:szCs w:val="24"/>
              </w:rPr>
              <w:t>项目，增加核心期刊学术论文</w:t>
            </w:r>
            <w:r>
              <w:rPr>
                <w:rFonts w:hint="eastAsia" w:ascii="仿宋_GB2312" w:hAnsi="仿宋_GB2312" w:eastAsia="仿宋_GB2312" w:cs="Times New Roman"/>
                <w:bCs/>
                <w:color w:val="000000"/>
                <w:sz w:val="24"/>
                <w:szCs w:val="24"/>
              </w:rPr>
              <w:t>、咨询报告的数量，在原创性科研成果取得上实现突破。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9" w:hRule="atLeast"/>
        </w:trPr>
        <w:tc>
          <w:tcPr>
            <w:tcW w:w="1124" w:type="dxa"/>
            <w:vMerge w:val="continue"/>
            <w:noWrap w:val="0"/>
            <w:vAlign w:val="center"/>
          </w:tcPr>
          <w:p>
            <w:pPr>
              <w:jc w:val="left"/>
              <w:rPr>
                <w:rFonts w:hint="eastAsia" w:ascii="仿宋_GB2312" w:hAnsi="仿宋_GB2312" w:eastAsia="仿宋_GB2312" w:cs="仿宋_GB2312"/>
                <w:bCs/>
                <w:color w:val="000000"/>
                <w:sz w:val="24"/>
                <w:szCs w:val="24"/>
              </w:rPr>
            </w:pPr>
          </w:p>
        </w:tc>
        <w:tc>
          <w:tcPr>
            <w:tcW w:w="1855" w:type="dxa"/>
            <w:noWrap w:val="0"/>
            <w:vAlign w:val="center"/>
          </w:tcPr>
          <w:p>
            <w:pPr>
              <w:widowControl/>
              <w:jc w:val="left"/>
              <w:textAlignment w:val="center"/>
              <w:rPr>
                <w:rFonts w:hint="eastAsia" w:ascii="仿宋_GB2312" w:hAnsi="仿宋_GB2312" w:eastAsia="仿宋_GB2312" w:cs="仿宋_GB2312"/>
                <w:bCs/>
                <w:color w:val="000000"/>
                <w:sz w:val="24"/>
                <w:szCs w:val="24"/>
              </w:rPr>
            </w:pPr>
            <w:r>
              <w:rPr>
                <w:rFonts w:hint="eastAsia" w:ascii="仿宋_GB2312" w:hAnsi="仿宋_GB2312" w:eastAsia="仿宋_GB2312" w:cs="仿宋_GB2312"/>
                <w:bCs/>
                <w:color w:val="000000"/>
                <w:kern w:val="0"/>
                <w:sz w:val="24"/>
                <w:szCs w:val="24"/>
                <w:lang w:bidi="ar"/>
              </w:rPr>
              <w:t>10.学术交流</w:t>
            </w:r>
          </w:p>
        </w:tc>
        <w:tc>
          <w:tcPr>
            <w:tcW w:w="2919" w:type="dxa"/>
            <w:noWrap w:val="0"/>
            <w:vAlign w:val="center"/>
          </w:tcPr>
          <w:p>
            <w:pPr>
              <w:jc w:val="left"/>
              <w:textAlignment w:val="baseline"/>
              <w:rPr>
                <w:rFonts w:ascii="仿宋_GB2312" w:hAnsi="仿宋_GB2312" w:eastAsia="仿宋_GB2312" w:cs="Times New Roman"/>
                <w:bCs/>
                <w:color w:val="000000"/>
                <w:sz w:val="24"/>
                <w:szCs w:val="24"/>
              </w:rPr>
            </w:pPr>
            <w:r>
              <w:rPr>
                <w:rStyle w:val="18"/>
                <w:rFonts w:hint="eastAsia" w:ascii="仿宋_GB2312" w:hAnsi="仿宋_GB2312" w:eastAsia="仿宋_GB2312"/>
                <w:bCs/>
                <w:color w:val="000000"/>
                <w:sz w:val="24"/>
                <w:szCs w:val="24"/>
              </w:rPr>
              <w:t>每年</w:t>
            </w:r>
            <w:r>
              <w:rPr>
                <w:rStyle w:val="18"/>
                <w:rFonts w:ascii="仿宋_GB2312" w:hAnsi="仿宋_GB2312" w:eastAsia="仿宋_GB2312"/>
                <w:bCs/>
                <w:color w:val="000000"/>
                <w:sz w:val="24"/>
                <w:szCs w:val="24"/>
              </w:rPr>
              <w:t>参加国内各类翻译及其相关学术会议</w:t>
            </w:r>
            <w:r>
              <w:rPr>
                <w:rStyle w:val="18"/>
                <w:rFonts w:hint="eastAsia" w:ascii="仿宋_GB2312" w:hAnsi="仿宋_GB2312" w:eastAsia="仿宋_GB2312"/>
                <w:bCs/>
                <w:color w:val="000000"/>
                <w:sz w:val="24"/>
                <w:szCs w:val="24"/>
              </w:rPr>
              <w:t>2次以上。</w:t>
            </w:r>
          </w:p>
        </w:tc>
        <w:tc>
          <w:tcPr>
            <w:tcW w:w="2712" w:type="dxa"/>
            <w:noWrap w:val="0"/>
            <w:vAlign w:val="center"/>
          </w:tcPr>
          <w:p>
            <w:pPr>
              <w:jc w:val="left"/>
              <w:textAlignment w:val="baseline"/>
              <w:rPr>
                <w:rFonts w:ascii="仿宋_GB2312" w:hAnsi="仿宋_GB2312" w:eastAsia="仿宋_GB2312" w:cs="Times New Roman"/>
                <w:bCs/>
                <w:color w:val="000000"/>
                <w:sz w:val="24"/>
                <w:szCs w:val="24"/>
              </w:rPr>
            </w:pPr>
            <w:r>
              <w:rPr>
                <w:rStyle w:val="18"/>
                <w:rFonts w:hint="eastAsia" w:ascii="仿宋_GB2312" w:hAnsi="仿宋_GB2312" w:eastAsia="仿宋_GB2312"/>
                <w:bCs/>
                <w:color w:val="000000"/>
                <w:sz w:val="24"/>
                <w:szCs w:val="24"/>
              </w:rPr>
              <w:t>每年</w:t>
            </w:r>
            <w:r>
              <w:rPr>
                <w:rStyle w:val="18"/>
                <w:rFonts w:ascii="仿宋_GB2312" w:hAnsi="仿宋_GB2312" w:eastAsia="仿宋_GB2312"/>
                <w:bCs/>
                <w:color w:val="000000"/>
                <w:sz w:val="24"/>
                <w:szCs w:val="24"/>
              </w:rPr>
              <w:t>参加国内各类翻译及其相关学术会议</w:t>
            </w:r>
            <w:r>
              <w:rPr>
                <w:rStyle w:val="18"/>
                <w:rFonts w:hint="eastAsia" w:ascii="仿宋_GB2312" w:hAnsi="仿宋_GB2312" w:eastAsia="仿宋_GB2312"/>
                <w:bCs/>
                <w:color w:val="000000"/>
                <w:sz w:val="24"/>
                <w:szCs w:val="24"/>
              </w:rPr>
              <w:t>3-4</w:t>
            </w:r>
            <w:r>
              <w:rPr>
                <w:rFonts w:hint="eastAsia" w:ascii="仿宋_GB2312" w:hAnsi="仿宋_GB2312" w:eastAsia="仿宋_GB2312" w:cs="Times New Roman"/>
                <w:bCs/>
                <w:color w:val="000000"/>
                <w:sz w:val="24"/>
                <w:szCs w:val="24"/>
              </w:rPr>
              <w:t>次以上。开设名人学术讲座、导师论坛、硕士论坛10次以上。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9" w:hRule="atLeast"/>
        </w:trPr>
        <w:tc>
          <w:tcPr>
            <w:tcW w:w="1124" w:type="dxa"/>
            <w:vMerge w:val="continue"/>
            <w:noWrap w:val="0"/>
            <w:vAlign w:val="center"/>
          </w:tcPr>
          <w:p>
            <w:pPr>
              <w:jc w:val="left"/>
              <w:rPr>
                <w:rFonts w:hint="eastAsia" w:ascii="仿宋_GB2312" w:hAnsi="仿宋_GB2312" w:eastAsia="仿宋_GB2312" w:cs="仿宋_GB2312"/>
                <w:bCs/>
                <w:color w:val="000000"/>
                <w:sz w:val="24"/>
                <w:szCs w:val="24"/>
              </w:rPr>
            </w:pPr>
          </w:p>
        </w:tc>
        <w:tc>
          <w:tcPr>
            <w:tcW w:w="1855" w:type="dxa"/>
            <w:noWrap w:val="0"/>
            <w:vAlign w:val="center"/>
          </w:tcPr>
          <w:p>
            <w:pPr>
              <w:widowControl/>
              <w:jc w:val="left"/>
              <w:textAlignment w:val="center"/>
              <w:rPr>
                <w:rFonts w:hint="default" w:ascii="仿宋_GB2312" w:hAnsi="仿宋_GB2312" w:eastAsia="仿宋_GB2312" w:cs="仿宋_GB2312"/>
                <w:bCs/>
                <w:color w:val="000000"/>
                <w:sz w:val="24"/>
                <w:szCs w:val="24"/>
                <w:lang w:val="en-US" w:eastAsia="zh-CN"/>
              </w:rPr>
            </w:pPr>
            <w:r>
              <w:rPr>
                <w:rFonts w:hint="eastAsia" w:ascii="仿宋_GB2312" w:hAnsi="仿宋_GB2312" w:eastAsia="仿宋_GB2312" w:cs="仿宋_GB2312"/>
                <w:bCs/>
                <w:color w:val="000000"/>
                <w:kern w:val="0"/>
                <w:sz w:val="24"/>
                <w:szCs w:val="24"/>
                <w:lang w:bidi="ar"/>
              </w:rPr>
              <w:t>11.支撑条件</w:t>
            </w:r>
          </w:p>
        </w:tc>
        <w:tc>
          <w:tcPr>
            <w:tcW w:w="2919" w:type="dxa"/>
            <w:noWrap w:val="0"/>
            <w:vAlign w:val="center"/>
          </w:tcPr>
          <w:p>
            <w:pPr>
              <w:jc w:val="left"/>
              <w:textAlignment w:val="baseline"/>
              <w:rPr>
                <w:rFonts w:hint="eastAsia" w:ascii="仿宋_GB2312" w:hAnsi="仿宋_GB2312" w:eastAsia="仿宋_GB2312" w:cs="Times New Roman"/>
                <w:bCs/>
                <w:color w:val="000000"/>
                <w:sz w:val="24"/>
                <w:szCs w:val="24"/>
              </w:rPr>
            </w:pPr>
            <w:r>
              <w:rPr>
                <w:rFonts w:hint="eastAsia" w:ascii="仿宋_GB2312" w:hAnsi="仿宋_GB2312" w:eastAsia="仿宋_GB2312" w:cs="仿宋_GB2312"/>
                <w:bCs/>
                <w:color w:val="000000"/>
                <w:kern w:val="0"/>
                <w:sz w:val="24"/>
                <w:szCs w:val="24"/>
                <w:lang w:bidi="ar"/>
              </w:rPr>
              <w:t>先后投资2000多万元建设了多功能录播室1个、语言实训室10个、英国厅、多功厅等别具特色实验室5个，自主学习中心7个，可容纳500人同时使用。建设了同声传译间和音控室组成的同声传译实验室2间；设立教学、科研及教师出国深造奖励资金600万，向国外大学输送了30多名青年教师访学、攻读硕士及博士研究生；首创教育质量实时监测大数据平台。；加大自主学习中心的资源开发与利用，促进学生个性化学习,提高教学效果。同时，引企入校。在校园设立翻译公司，对外开展翻译业务，承揽各类大型国际会议笔译、口译、同传翻译、机器翻译等项目。；设立专门翻译专业专家委员会；制定了完善的翻译专业培养流程和管理制度</w:t>
            </w:r>
          </w:p>
        </w:tc>
        <w:tc>
          <w:tcPr>
            <w:tcW w:w="2712" w:type="dxa"/>
            <w:noWrap w:val="0"/>
            <w:vAlign w:val="center"/>
          </w:tcPr>
          <w:p>
            <w:pPr>
              <w:jc w:val="left"/>
              <w:textAlignment w:val="baseline"/>
              <w:rPr>
                <w:rFonts w:ascii="仿宋_GB2312" w:hAnsi="仿宋_GB2312" w:eastAsia="仿宋_GB2312" w:cs="Times New Roman"/>
                <w:bCs/>
                <w:color w:val="000000"/>
                <w:sz w:val="24"/>
                <w:szCs w:val="24"/>
              </w:rPr>
            </w:pPr>
            <w:r>
              <w:rPr>
                <w:rStyle w:val="18"/>
                <w:rFonts w:ascii="仿宋_GB2312" w:hAnsi="仿宋_GB2312" w:eastAsia="仿宋_GB2312"/>
                <w:bCs/>
                <w:color w:val="000000"/>
                <w:sz w:val="24"/>
                <w:szCs w:val="24"/>
              </w:rPr>
              <w:t>在现有基础上，建立一个高仿真翻译公司实训基地，一个汉英-英汉平行语料库</w:t>
            </w:r>
            <w:r>
              <w:rPr>
                <w:rStyle w:val="18"/>
                <w:rFonts w:hint="eastAsia" w:ascii="仿宋_GB2312" w:hAnsi="仿宋_GB2312" w:eastAsia="仿宋_GB2312"/>
                <w:bCs/>
                <w:color w:val="000000"/>
                <w:sz w:val="24"/>
                <w:szCs w:val="24"/>
              </w:rPr>
              <w:t>。建立产教融合实践基地2家以上。为实施翻译专业硕士培养打下扎实基础。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9" w:hRule="atLeast"/>
        </w:trPr>
        <w:tc>
          <w:tcPr>
            <w:tcW w:w="1124" w:type="dxa"/>
            <w:noWrap w:val="0"/>
            <w:vAlign w:val="center"/>
          </w:tcPr>
          <w:p>
            <w:pPr>
              <w:widowControl/>
              <w:jc w:val="left"/>
              <w:textAlignment w:val="center"/>
              <w:rPr>
                <w:rFonts w:hint="eastAsia" w:ascii="仿宋_GB2312" w:hAnsi="仿宋_GB2312" w:eastAsia="仿宋_GB2312" w:cs="仿宋_GB2312"/>
                <w:bCs/>
                <w:color w:val="000000"/>
                <w:kern w:val="0"/>
                <w:sz w:val="24"/>
                <w:szCs w:val="24"/>
                <w:lang w:bidi="ar"/>
              </w:rPr>
            </w:pPr>
            <w:r>
              <w:rPr>
                <w:rFonts w:hint="eastAsia" w:ascii="仿宋_GB2312" w:hAnsi="仿宋_GB2312" w:eastAsia="仿宋_GB2312" w:cs="仿宋_GB2312"/>
                <w:bCs/>
                <w:color w:val="000000"/>
                <w:kern w:val="0"/>
                <w:sz w:val="24"/>
                <w:szCs w:val="24"/>
                <w:lang w:bidi="ar"/>
              </w:rPr>
              <w:t>五、其他要求</w:t>
            </w:r>
          </w:p>
        </w:tc>
        <w:tc>
          <w:tcPr>
            <w:tcW w:w="1855" w:type="dxa"/>
            <w:noWrap w:val="0"/>
            <w:vAlign w:val="center"/>
          </w:tcPr>
          <w:p>
            <w:pPr>
              <w:widowControl/>
              <w:jc w:val="center"/>
              <w:textAlignment w:val="center"/>
              <w:rPr>
                <w:rFonts w:ascii="仿宋_GB2312" w:hAnsi="仿宋_GB2312" w:eastAsia="仿宋_GB2312" w:cs="仿宋_GB2312"/>
                <w:bCs/>
                <w:color w:val="000000"/>
                <w:kern w:val="0"/>
                <w:sz w:val="24"/>
                <w:szCs w:val="24"/>
                <w:lang w:bidi="ar"/>
              </w:rPr>
            </w:pPr>
            <w:r>
              <w:rPr>
                <w:rFonts w:hint="eastAsia" w:ascii="仿宋_GB2312" w:hAnsi="仿宋_GB2312" w:eastAsia="仿宋_GB2312" w:cs="仿宋_GB2312"/>
                <w:bCs/>
                <w:color w:val="000000"/>
                <w:kern w:val="0"/>
                <w:sz w:val="24"/>
                <w:szCs w:val="24"/>
                <w:lang w:bidi="ar"/>
              </w:rPr>
              <w:t>1</w:t>
            </w:r>
            <w:r>
              <w:rPr>
                <w:rFonts w:ascii="仿宋_GB2312" w:hAnsi="仿宋_GB2312" w:eastAsia="仿宋_GB2312" w:cs="仿宋_GB2312"/>
                <w:bCs/>
                <w:color w:val="000000"/>
                <w:kern w:val="0"/>
                <w:sz w:val="24"/>
                <w:szCs w:val="24"/>
                <w:lang w:bidi="ar"/>
              </w:rPr>
              <w:t>2.</w:t>
            </w:r>
            <w:r>
              <w:rPr>
                <w:rFonts w:hint="eastAsia" w:ascii="仿宋_GB2312" w:hAnsi="仿宋_GB2312" w:eastAsia="仿宋_GB2312" w:cs="仿宋_GB2312"/>
                <w:bCs/>
                <w:color w:val="000000"/>
                <w:kern w:val="0"/>
                <w:sz w:val="24"/>
                <w:szCs w:val="24"/>
                <w:lang w:bidi="ar"/>
              </w:rPr>
              <w:t>外语图书</w:t>
            </w:r>
          </w:p>
          <w:p>
            <w:pPr>
              <w:widowControl/>
              <w:jc w:val="center"/>
              <w:textAlignment w:val="center"/>
              <w:rPr>
                <w:rFonts w:hint="eastAsia" w:ascii="仿宋_GB2312" w:hAnsi="仿宋_GB2312" w:eastAsia="仿宋_GB2312" w:cs="仿宋_GB2312"/>
                <w:bCs/>
                <w:color w:val="000000"/>
                <w:kern w:val="0"/>
                <w:sz w:val="24"/>
                <w:szCs w:val="24"/>
                <w:lang w:bidi="ar"/>
              </w:rPr>
            </w:pPr>
            <w:r>
              <w:rPr>
                <w:rFonts w:hint="eastAsia" w:ascii="仿宋_GB2312" w:hAnsi="仿宋_GB2312" w:eastAsia="仿宋_GB2312" w:cs="仿宋_GB2312"/>
                <w:bCs/>
                <w:color w:val="000000"/>
                <w:kern w:val="0"/>
                <w:sz w:val="24"/>
                <w:szCs w:val="24"/>
                <w:lang w:bidi="ar"/>
              </w:rPr>
              <w:t>资料</w:t>
            </w:r>
          </w:p>
        </w:tc>
        <w:tc>
          <w:tcPr>
            <w:tcW w:w="2919" w:type="dxa"/>
            <w:noWrap w:val="0"/>
            <w:vAlign w:val="center"/>
          </w:tcPr>
          <w:p>
            <w:pPr>
              <w:rPr>
                <w:rFonts w:hint="eastAsia" w:ascii="仿宋_GB2312" w:hAnsi="仿宋_GB2312" w:eastAsia="仿宋_GB2312" w:cs="仿宋_GB2312"/>
                <w:bCs/>
                <w:color w:val="000000"/>
                <w:kern w:val="0"/>
                <w:sz w:val="24"/>
                <w:szCs w:val="24"/>
                <w:lang w:bidi="ar"/>
              </w:rPr>
            </w:pPr>
            <w:r>
              <w:rPr>
                <w:rFonts w:hint="eastAsia" w:ascii="仿宋_GB2312" w:hAnsi="仿宋_GB2312" w:eastAsia="仿宋_GB2312" w:cs="仿宋_GB2312"/>
                <w:bCs/>
                <w:color w:val="000000"/>
                <w:kern w:val="0"/>
                <w:sz w:val="24"/>
                <w:szCs w:val="24"/>
                <w:lang w:bidi="ar"/>
              </w:rPr>
              <w:t>学校图书馆资料丰富，但外语类图书相对较少，特别是翻译类图书更少。</w:t>
            </w:r>
          </w:p>
        </w:tc>
        <w:tc>
          <w:tcPr>
            <w:tcW w:w="2712" w:type="dxa"/>
            <w:noWrap w:val="0"/>
            <w:vAlign w:val="center"/>
          </w:tcPr>
          <w:p>
            <w:pPr>
              <w:jc w:val="center"/>
              <w:rPr>
                <w:rFonts w:hint="eastAsia" w:ascii="仿宋_GB2312" w:hAnsi="仿宋_GB2312" w:eastAsia="仿宋_GB2312" w:cs="仿宋_GB2312"/>
                <w:bCs/>
                <w:color w:val="000000"/>
                <w:kern w:val="0"/>
                <w:sz w:val="24"/>
                <w:szCs w:val="24"/>
                <w:lang w:bidi="ar"/>
              </w:rPr>
            </w:pPr>
            <w:r>
              <w:rPr>
                <w:rFonts w:hint="eastAsia" w:ascii="仿宋_GB2312" w:hAnsi="仿宋_GB2312" w:eastAsia="仿宋_GB2312" w:cs="仿宋_GB2312"/>
                <w:bCs/>
                <w:color w:val="000000"/>
                <w:kern w:val="0"/>
                <w:sz w:val="24"/>
                <w:szCs w:val="24"/>
                <w:lang w:bidi="ar"/>
              </w:rPr>
              <w:t>在现有基础上，建立多语种独立外语图书室1个，引进纸质及电子翻译类图书及资料</w:t>
            </w:r>
          </w:p>
        </w:tc>
      </w:tr>
    </w:tbl>
    <w:p>
      <w:pPr>
        <w:rPr>
          <w:vanish/>
          <w:color w:val="000000"/>
        </w:rPr>
      </w:pPr>
    </w:p>
    <w:p>
      <w:pPr>
        <w:outlineLvl w:val="0"/>
        <w:rPr>
          <w:rFonts w:hint="eastAsia" w:ascii="仿宋_GB2312" w:hAnsi="仿宋_GB2312" w:eastAsia="仿宋_GB2312" w:cs="仿宋_GB2312"/>
          <w:bCs/>
          <w:color w:val="000000"/>
          <w:sz w:val="20"/>
          <w:szCs w:val="20"/>
        </w:rPr>
        <w:sectPr>
          <w:footerReference r:id="rId13" w:type="default"/>
          <w:pgSz w:w="11906" w:h="16838"/>
          <w:pgMar w:top="1701" w:right="1588" w:bottom="1701" w:left="1588" w:header="851" w:footer="992" w:gutter="0"/>
          <w:cols w:space="720" w:num="1"/>
          <w:docGrid w:type="lines" w:linePitch="312" w:charSpace="0"/>
        </w:sectPr>
      </w:pPr>
      <w:r>
        <w:rPr>
          <w:rFonts w:hint="eastAsia" w:ascii="仿宋_GB2312" w:hAnsi="仿宋_GB2312" w:eastAsia="仿宋_GB2312" w:cs="仿宋_GB2312"/>
          <w:bCs/>
          <w:color w:val="000000"/>
          <w:sz w:val="20"/>
          <w:szCs w:val="20"/>
        </w:rPr>
        <w:t>注：如拟建设的学位点有多个，请自行复制五至七填写。</w:t>
      </w:r>
    </w:p>
    <w:p>
      <w:pPr>
        <w:outlineLvl w:val="0"/>
        <w:rPr>
          <w:rFonts w:hint="eastAsia" w:ascii="黑体" w:hAnsi="黑体" w:eastAsia="黑体" w:cs="黑体"/>
          <w:bCs/>
          <w:color w:val="000000"/>
          <w:sz w:val="30"/>
          <w:szCs w:val="30"/>
        </w:rPr>
      </w:pPr>
      <w:r>
        <w:rPr>
          <w:rFonts w:hint="eastAsia" w:ascii="黑体" w:hAnsi="黑体" w:eastAsia="黑体" w:cs="黑体"/>
          <w:bCs/>
          <w:color w:val="000000"/>
          <w:sz w:val="30"/>
          <w:szCs w:val="30"/>
        </w:rPr>
        <w:t>七、学位授权审核申请基本条件对照表（学位点名称</w:t>
      </w:r>
      <w:r>
        <w:rPr>
          <w:rFonts w:hint="eastAsia" w:ascii="黑体" w:hAnsi="黑体" w:eastAsia="黑体" w:cs="黑体"/>
          <w:bCs/>
          <w:color w:val="000000"/>
          <w:sz w:val="30"/>
          <w:szCs w:val="30"/>
          <w:lang w:eastAsia="zh-CN"/>
        </w:rPr>
        <w:t>：</w:t>
      </w:r>
      <w:r>
        <w:rPr>
          <w:rFonts w:hint="eastAsia" w:ascii="黑体" w:hAnsi="黑体" w:eastAsia="黑体" w:cs="黑体"/>
          <w:bCs/>
          <w:color w:val="000000"/>
          <w:sz w:val="30"/>
          <w:szCs w:val="30"/>
        </w:rPr>
        <w:t>金融）</w:t>
      </w:r>
    </w:p>
    <w:tbl>
      <w:tblPr>
        <w:tblStyle w:val="9"/>
        <w:tblW w:w="4812"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24"/>
        <w:gridCol w:w="1855"/>
        <w:gridCol w:w="2919"/>
        <w:gridCol w:w="27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6" w:hRule="atLeast"/>
        </w:trPr>
        <w:tc>
          <w:tcPr>
            <w:tcW w:w="2979" w:type="dxa"/>
            <w:gridSpan w:val="2"/>
            <w:noWrap w:val="0"/>
            <w:vAlign w:val="center"/>
          </w:tcPr>
          <w:p>
            <w:pPr>
              <w:widowControl/>
              <w:jc w:val="center"/>
              <w:textAlignment w:val="center"/>
              <w:rPr>
                <w:rFonts w:hint="eastAsia" w:ascii="仿宋_GB2312" w:hAnsi="仿宋_GB2312" w:eastAsia="仿宋_GB2312" w:cs="仿宋_GB2312"/>
                <w:b/>
                <w:color w:val="000000"/>
                <w:kern w:val="0"/>
                <w:sz w:val="28"/>
                <w:szCs w:val="28"/>
                <w:lang w:bidi="ar"/>
              </w:rPr>
            </w:pPr>
            <w:r>
              <w:rPr>
                <w:rFonts w:hint="eastAsia" w:ascii="仿宋_GB2312" w:hAnsi="仿宋_GB2312" w:eastAsia="仿宋_GB2312" w:cs="仿宋_GB2312"/>
                <w:b/>
                <w:color w:val="000000"/>
                <w:kern w:val="0"/>
                <w:sz w:val="28"/>
                <w:szCs w:val="28"/>
                <w:lang w:bidi="ar"/>
              </w:rPr>
              <w:t>国家规定基本条件</w:t>
            </w:r>
          </w:p>
          <w:p>
            <w:pPr>
              <w:widowControl/>
              <w:spacing w:line="260" w:lineRule="exact"/>
              <w:textAlignment w:val="center"/>
              <w:rPr>
                <w:rFonts w:hint="eastAsia" w:ascii="仿宋_GB2312" w:hAnsi="仿宋_GB2312" w:eastAsia="仿宋_GB2312" w:cs="仿宋_GB2312"/>
                <w:b/>
                <w:color w:val="000000"/>
                <w:sz w:val="28"/>
                <w:szCs w:val="28"/>
              </w:rPr>
            </w:pPr>
            <w:r>
              <w:rPr>
                <w:rFonts w:hint="eastAsia" w:ascii="仿宋_GB2312" w:hAnsi="仿宋_GB2312" w:eastAsia="仿宋_GB2312" w:cs="仿宋_GB2312"/>
                <w:bCs/>
                <w:color w:val="000000"/>
                <w:kern w:val="0"/>
                <w:sz w:val="20"/>
                <w:szCs w:val="20"/>
                <w:lang w:bidi="ar"/>
              </w:rPr>
              <w:t>（需按申请的具体类型和学科，对标《学位授权审核申请基本条件（2020）》逐一填写）</w:t>
            </w:r>
          </w:p>
        </w:tc>
        <w:tc>
          <w:tcPr>
            <w:tcW w:w="2919" w:type="dxa"/>
            <w:noWrap w:val="0"/>
            <w:vAlign w:val="center"/>
          </w:tcPr>
          <w:p>
            <w:pPr>
              <w:widowControl/>
              <w:jc w:val="center"/>
              <w:textAlignment w:val="center"/>
              <w:rPr>
                <w:rFonts w:hint="eastAsia" w:ascii="仿宋_GB2312" w:hAnsi="仿宋_GB2312" w:eastAsia="仿宋_GB2312" w:cs="仿宋_GB2312"/>
                <w:b/>
                <w:color w:val="000000"/>
                <w:sz w:val="28"/>
                <w:szCs w:val="28"/>
              </w:rPr>
            </w:pPr>
            <w:r>
              <w:rPr>
                <w:rFonts w:hint="eastAsia" w:ascii="仿宋_GB2312" w:hAnsi="仿宋_GB2312" w:eastAsia="仿宋_GB2312" w:cs="仿宋_GB2312"/>
                <w:b/>
                <w:color w:val="000000"/>
                <w:sz w:val="28"/>
                <w:szCs w:val="28"/>
              </w:rPr>
              <w:t>目前情况</w:t>
            </w:r>
          </w:p>
        </w:tc>
        <w:tc>
          <w:tcPr>
            <w:tcW w:w="2712" w:type="dxa"/>
            <w:noWrap w:val="0"/>
            <w:vAlign w:val="center"/>
          </w:tcPr>
          <w:p>
            <w:pPr>
              <w:widowControl/>
              <w:jc w:val="center"/>
              <w:textAlignment w:val="center"/>
              <w:rPr>
                <w:rFonts w:hint="eastAsia" w:ascii="仿宋_GB2312" w:hAnsi="仿宋_GB2312" w:eastAsia="仿宋_GB2312" w:cs="仿宋_GB2312"/>
                <w:b/>
                <w:color w:val="000000"/>
                <w:sz w:val="28"/>
                <w:szCs w:val="28"/>
              </w:rPr>
            </w:pPr>
            <w:r>
              <w:rPr>
                <w:rFonts w:hint="eastAsia" w:ascii="仿宋_GB2312" w:hAnsi="仿宋_GB2312" w:eastAsia="仿宋_GB2312" w:cs="仿宋_GB2312"/>
                <w:b/>
                <w:color w:val="000000"/>
                <w:sz w:val="28"/>
                <w:szCs w:val="28"/>
              </w:rPr>
              <w:t>建设目标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9" w:hRule="atLeast"/>
        </w:trPr>
        <w:tc>
          <w:tcPr>
            <w:tcW w:w="1124" w:type="dxa"/>
            <w:vMerge w:val="restart"/>
            <w:noWrap w:val="0"/>
            <w:vAlign w:val="center"/>
          </w:tcPr>
          <w:p>
            <w:pPr>
              <w:widowControl/>
              <w:jc w:val="left"/>
              <w:textAlignment w:val="center"/>
              <w:rPr>
                <w:rFonts w:hint="eastAsia" w:ascii="仿宋_GB2312" w:hAnsi="仿宋_GB2312" w:eastAsia="仿宋_GB2312" w:cs="仿宋_GB2312"/>
                <w:bCs/>
                <w:color w:val="000000"/>
                <w:sz w:val="24"/>
                <w:szCs w:val="24"/>
              </w:rPr>
            </w:pPr>
            <w:r>
              <w:rPr>
                <w:rFonts w:hint="eastAsia" w:ascii="仿宋_GB2312" w:hAnsi="仿宋_GB2312" w:eastAsia="仿宋_GB2312" w:cs="仿宋_GB2312"/>
                <w:bCs/>
                <w:color w:val="000000"/>
                <w:kern w:val="0"/>
                <w:sz w:val="24"/>
                <w:szCs w:val="24"/>
                <w:lang w:bidi="ar"/>
              </w:rPr>
              <w:t>一、学科方向与特色</w:t>
            </w:r>
          </w:p>
        </w:tc>
        <w:tc>
          <w:tcPr>
            <w:tcW w:w="1855" w:type="dxa"/>
            <w:noWrap w:val="0"/>
            <w:vAlign w:val="center"/>
          </w:tcPr>
          <w:p>
            <w:pPr>
              <w:widowControl/>
              <w:jc w:val="left"/>
              <w:textAlignment w:val="center"/>
              <w:rPr>
                <w:rFonts w:hint="eastAsia" w:ascii="仿宋_GB2312" w:hAnsi="仿宋_GB2312" w:eastAsia="仿宋_GB2312" w:cs="仿宋_GB2312"/>
                <w:bCs/>
                <w:color w:val="000000"/>
                <w:sz w:val="24"/>
                <w:szCs w:val="24"/>
              </w:rPr>
            </w:pPr>
            <w:r>
              <w:rPr>
                <w:rFonts w:hint="eastAsia" w:ascii="仿宋_GB2312" w:hAnsi="仿宋_GB2312" w:eastAsia="仿宋_GB2312" w:cs="仿宋_GB2312"/>
                <w:bCs/>
                <w:color w:val="000000"/>
                <w:kern w:val="0"/>
                <w:sz w:val="24"/>
                <w:szCs w:val="24"/>
                <w:lang w:bidi="ar"/>
              </w:rPr>
              <w:t>1.学科方向</w:t>
            </w:r>
          </w:p>
        </w:tc>
        <w:tc>
          <w:tcPr>
            <w:tcW w:w="2919" w:type="dxa"/>
            <w:noWrap w:val="0"/>
            <w:vAlign w:val="center"/>
          </w:tcPr>
          <w:p>
            <w:pPr>
              <w:jc w:val="left"/>
              <w:textAlignment w:val="baseline"/>
              <w:rPr>
                <w:rFonts w:hint="eastAsia" w:ascii="仿宋_GB2312" w:hAnsi="仿宋_GB2312" w:eastAsia="仿宋_GB2312" w:cs="仿宋_GB2312"/>
                <w:bCs/>
                <w:color w:val="000000"/>
                <w:kern w:val="0"/>
                <w:sz w:val="24"/>
                <w:szCs w:val="24"/>
                <w:lang w:bidi="ar"/>
              </w:rPr>
            </w:pPr>
            <w:r>
              <w:rPr>
                <w:rFonts w:hint="eastAsia" w:ascii="仿宋_GB2312" w:hAnsi="仿宋_GB2312" w:eastAsia="仿宋_GB2312" w:cs="仿宋_GB2312"/>
                <w:bCs/>
                <w:color w:val="000000"/>
                <w:kern w:val="0"/>
                <w:sz w:val="24"/>
                <w:szCs w:val="24"/>
                <w:lang w:bidi="ar"/>
              </w:rPr>
              <w:t>金融学</w:t>
            </w:r>
          </w:p>
        </w:tc>
        <w:tc>
          <w:tcPr>
            <w:tcW w:w="2712" w:type="dxa"/>
            <w:noWrap w:val="0"/>
            <w:vAlign w:val="center"/>
          </w:tcPr>
          <w:p>
            <w:pPr>
              <w:jc w:val="left"/>
              <w:textAlignment w:val="baseline"/>
              <w:rPr>
                <w:rFonts w:hint="eastAsia" w:ascii="仿宋_GB2312" w:hAnsi="仿宋_GB2312" w:eastAsia="仿宋_GB2312" w:cs="仿宋_GB2312"/>
                <w:bCs/>
                <w:color w:val="000000"/>
                <w:kern w:val="0"/>
                <w:sz w:val="24"/>
                <w:szCs w:val="24"/>
                <w:lang w:bidi="ar"/>
              </w:rPr>
            </w:pPr>
            <w:r>
              <w:rPr>
                <w:rFonts w:hint="default" w:ascii="仿宋_GB2312" w:hAnsi="仿宋_GB2312" w:eastAsia="仿宋_GB2312" w:cs="仿宋_GB2312"/>
                <w:bCs/>
                <w:color w:val="000000"/>
                <w:kern w:val="0"/>
                <w:sz w:val="24"/>
                <w:szCs w:val="24"/>
                <w:lang w:val="en-US" w:eastAsia="zh-CN" w:bidi="ar"/>
              </w:rPr>
              <w:t>到202</w:t>
            </w:r>
            <w:r>
              <w:rPr>
                <w:rFonts w:hint="eastAsia" w:ascii="仿宋_GB2312" w:hAnsi="仿宋_GB2312" w:eastAsia="仿宋_GB2312" w:cs="仿宋_GB2312"/>
                <w:bCs/>
                <w:color w:val="000000"/>
                <w:kern w:val="0"/>
                <w:sz w:val="24"/>
                <w:szCs w:val="24"/>
                <w:lang w:val="en-US" w:eastAsia="zh-CN" w:bidi="ar"/>
              </w:rPr>
              <w:t>5</w:t>
            </w:r>
            <w:r>
              <w:rPr>
                <w:rFonts w:hint="default" w:ascii="仿宋_GB2312" w:hAnsi="仿宋_GB2312" w:eastAsia="仿宋_GB2312" w:cs="仿宋_GB2312"/>
                <w:bCs/>
                <w:color w:val="000000"/>
                <w:kern w:val="0"/>
                <w:sz w:val="24"/>
                <w:szCs w:val="24"/>
                <w:lang w:val="en-US" w:eastAsia="zh-CN" w:bidi="ar"/>
              </w:rPr>
              <w:t>年，</w:t>
            </w:r>
            <w:r>
              <w:rPr>
                <w:rFonts w:hint="eastAsia" w:ascii="仿宋_GB2312" w:hAnsi="仿宋_GB2312" w:eastAsia="仿宋_GB2312" w:cs="仿宋_GB2312"/>
                <w:bCs/>
                <w:color w:val="000000"/>
                <w:kern w:val="0"/>
                <w:sz w:val="24"/>
                <w:szCs w:val="24"/>
                <w:lang w:val="en-US" w:eastAsia="zh-CN" w:bidi="ar"/>
              </w:rPr>
              <w:t>金融科技、绿色金融等</w:t>
            </w:r>
            <w:r>
              <w:rPr>
                <w:rFonts w:hint="default" w:ascii="仿宋_GB2312" w:hAnsi="仿宋_GB2312" w:eastAsia="仿宋_GB2312" w:cs="仿宋_GB2312"/>
                <w:bCs/>
                <w:color w:val="000000"/>
                <w:kern w:val="0"/>
                <w:sz w:val="24"/>
                <w:szCs w:val="24"/>
                <w:lang w:val="en-US" w:eastAsia="zh-CN" w:bidi="ar"/>
              </w:rPr>
              <w:t>2-3个学科方向较为成熟，满足</w:t>
            </w:r>
            <w:r>
              <w:rPr>
                <w:rFonts w:hint="default" w:ascii="仿宋_GB2312" w:hAnsi="仿宋_GB2312" w:eastAsia="仿宋_GB2312" w:cs="仿宋_GB2312"/>
                <w:bCs/>
                <w:color w:val="000000"/>
                <w:kern w:val="0"/>
                <w:sz w:val="24"/>
                <w:szCs w:val="24"/>
                <w:lang w:bidi="ar"/>
              </w:rPr>
              <w:t>金融硕士</w:t>
            </w:r>
            <w:r>
              <w:rPr>
                <w:rFonts w:hint="default" w:ascii="仿宋_GB2312" w:hAnsi="仿宋_GB2312" w:eastAsia="仿宋_GB2312" w:cs="仿宋_GB2312"/>
                <w:bCs/>
                <w:color w:val="000000"/>
                <w:kern w:val="0"/>
                <w:sz w:val="24"/>
                <w:szCs w:val="24"/>
                <w:lang w:val="en-US" w:eastAsia="zh-CN" w:bidi="ar"/>
              </w:rPr>
              <w:t>的申报条件。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9" w:hRule="atLeast"/>
        </w:trPr>
        <w:tc>
          <w:tcPr>
            <w:tcW w:w="1124" w:type="dxa"/>
            <w:vMerge w:val="continue"/>
            <w:noWrap w:val="0"/>
            <w:vAlign w:val="center"/>
          </w:tcPr>
          <w:p>
            <w:pPr>
              <w:jc w:val="left"/>
              <w:rPr>
                <w:rFonts w:hint="eastAsia" w:ascii="仿宋_GB2312" w:hAnsi="仿宋_GB2312" w:eastAsia="仿宋_GB2312" w:cs="仿宋_GB2312"/>
                <w:bCs/>
                <w:color w:val="000000"/>
                <w:sz w:val="24"/>
                <w:szCs w:val="24"/>
              </w:rPr>
            </w:pPr>
          </w:p>
        </w:tc>
        <w:tc>
          <w:tcPr>
            <w:tcW w:w="1855" w:type="dxa"/>
            <w:noWrap w:val="0"/>
            <w:vAlign w:val="center"/>
          </w:tcPr>
          <w:p>
            <w:pPr>
              <w:widowControl/>
              <w:jc w:val="left"/>
              <w:textAlignment w:val="center"/>
              <w:rPr>
                <w:rFonts w:hint="eastAsia" w:ascii="仿宋_GB2312" w:hAnsi="仿宋_GB2312" w:eastAsia="仿宋_GB2312" w:cs="仿宋_GB2312"/>
                <w:bCs/>
                <w:color w:val="000000"/>
                <w:sz w:val="24"/>
                <w:szCs w:val="24"/>
              </w:rPr>
            </w:pPr>
            <w:r>
              <w:rPr>
                <w:rFonts w:hint="eastAsia" w:ascii="仿宋_GB2312" w:hAnsi="仿宋_GB2312" w:eastAsia="仿宋_GB2312" w:cs="仿宋_GB2312"/>
                <w:bCs/>
                <w:color w:val="000000"/>
                <w:kern w:val="0"/>
                <w:sz w:val="24"/>
                <w:szCs w:val="24"/>
                <w:lang w:bidi="ar"/>
              </w:rPr>
              <w:t>2.学科特色</w:t>
            </w:r>
          </w:p>
        </w:tc>
        <w:tc>
          <w:tcPr>
            <w:tcW w:w="2919" w:type="dxa"/>
            <w:noWrap w:val="0"/>
            <w:vAlign w:val="top"/>
          </w:tcPr>
          <w:p>
            <w:pPr>
              <w:jc w:val="left"/>
              <w:textAlignment w:val="baseline"/>
              <w:rPr>
                <w:rFonts w:hint="eastAsia" w:ascii="仿宋_GB2312" w:hAnsi="仿宋_GB2312" w:eastAsia="仿宋_GB2312" w:cs="仿宋_GB2312"/>
                <w:bCs/>
                <w:color w:val="000000"/>
                <w:kern w:val="0"/>
                <w:sz w:val="24"/>
                <w:szCs w:val="24"/>
                <w:lang w:bidi="ar"/>
              </w:rPr>
            </w:pPr>
            <w:r>
              <w:rPr>
                <w:rFonts w:hint="eastAsia" w:ascii="仿宋_GB2312" w:hAnsi="仿宋_GB2312" w:eastAsia="仿宋_GB2312" w:cs="仿宋_GB2312"/>
                <w:bCs/>
                <w:color w:val="000000"/>
                <w:kern w:val="0"/>
                <w:sz w:val="24"/>
                <w:szCs w:val="24"/>
                <w:lang w:bidi="ar"/>
              </w:rPr>
              <w:t>立足上海，培养“国际视野，高尚情怀，跨文化沟通能力的复合型，应用型人才”，常规班培养能够胜任银行、证券、保险、信托等领域工作的全面发展的、具有创新精神和实践能力的应用型、复合型人才。CFA方向班培养学生具有开拓创新精神、国际视野和跨文化交流沟通能力，成为能够熟练运用英语为全球企业提供金融专业服务与支持，从事国际金融及管理、分析等项业务的应用型、国际化人才。</w:t>
            </w:r>
          </w:p>
          <w:p>
            <w:pPr>
              <w:jc w:val="left"/>
              <w:textAlignment w:val="baseline"/>
              <w:rPr>
                <w:rFonts w:hint="eastAsia" w:ascii="仿宋_GB2312" w:hAnsi="仿宋_GB2312" w:eastAsia="仿宋_GB2312" w:cs="仿宋_GB2312"/>
                <w:bCs/>
                <w:color w:val="000000"/>
                <w:kern w:val="0"/>
                <w:sz w:val="24"/>
                <w:szCs w:val="24"/>
                <w:lang w:bidi="ar"/>
              </w:rPr>
            </w:pPr>
          </w:p>
        </w:tc>
        <w:tc>
          <w:tcPr>
            <w:tcW w:w="2712" w:type="dxa"/>
            <w:noWrap w:val="0"/>
            <w:vAlign w:val="top"/>
          </w:tcPr>
          <w:p>
            <w:pPr>
              <w:jc w:val="left"/>
              <w:textAlignment w:val="baseline"/>
              <w:rPr>
                <w:rFonts w:hint="eastAsia" w:ascii="仿宋_GB2312" w:hAnsi="仿宋_GB2312" w:eastAsia="仿宋_GB2312" w:cs="仿宋_GB2312"/>
                <w:bCs/>
                <w:color w:val="000000"/>
                <w:kern w:val="0"/>
                <w:sz w:val="24"/>
                <w:szCs w:val="24"/>
                <w:lang w:bidi="ar"/>
              </w:rPr>
            </w:pPr>
            <w:r>
              <w:rPr>
                <w:rFonts w:hint="default" w:ascii="仿宋_GB2312" w:hAnsi="仿宋_GB2312" w:eastAsia="仿宋_GB2312" w:cs="仿宋_GB2312"/>
                <w:bCs/>
                <w:color w:val="000000"/>
                <w:kern w:val="0"/>
                <w:sz w:val="24"/>
                <w:szCs w:val="24"/>
                <w:lang w:eastAsia="zh-CN" w:bidi="ar"/>
              </w:rPr>
              <w:t>（</w:t>
            </w:r>
            <w:r>
              <w:rPr>
                <w:rFonts w:hint="default" w:ascii="仿宋_GB2312" w:hAnsi="仿宋_GB2312" w:eastAsia="仿宋_GB2312" w:cs="仿宋_GB2312"/>
                <w:bCs/>
                <w:color w:val="000000"/>
                <w:kern w:val="0"/>
                <w:sz w:val="24"/>
                <w:szCs w:val="24"/>
                <w:lang w:val="en-US" w:eastAsia="zh-CN" w:bidi="ar"/>
              </w:rPr>
              <w:t>1</w:t>
            </w:r>
            <w:r>
              <w:rPr>
                <w:rFonts w:hint="default" w:ascii="仿宋_GB2312" w:hAnsi="仿宋_GB2312" w:eastAsia="仿宋_GB2312" w:cs="仿宋_GB2312"/>
                <w:bCs/>
                <w:color w:val="000000"/>
                <w:kern w:val="0"/>
                <w:sz w:val="24"/>
                <w:szCs w:val="24"/>
                <w:lang w:eastAsia="zh-CN" w:bidi="ar"/>
              </w:rPr>
              <w:t>）</w:t>
            </w:r>
            <w:r>
              <w:rPr>
                <w:rFonts w:hint="default" w:ascii="仿宋_GB2312" w:hAnsi="仿宋_GB2312" w:eastAsia="仿宋_GB2312" w:cs="仿宋_GB2312"/>
                <w:bCs/>
                <w:color w:val="000000"/>
                <w:kern w:val="0"/>
                <w:sz w:val="24"/>
                <w:szCs w:val="24"/>
                <w:lang w:val="en-US" w:eastAsia="zh-CN" w:bidi="ar"/>
              </w:rPr>
              <w:t>行业引领特色开始显现，</w:t>
            </w:r>
            <w:r>
              <w:rPr>
                <w:rFonts w:hint="default" w:ascii="仿宋_GB2312" w:hAnsi="仿宋_GB2312" w:eastAsia="仿宋_GB2312" w:cs="仿宋_GB2312"/>
                <w:bCs/>
                <w:color w:val="000000"/>
                <w:kern w:val="0"/>
                <w:sz w:val="24"/>
                <w:szCs w:val="24"/>
                <w:lang w:bidi="ar"/>
              </w:rPr>
              <w:t>以“</w:t>
            </w:r>
            <w:r>
              <w:rPr>
                <w:rFonts w:hint="eastAsia" w:ascii="仿宋_GB2312" w:hAnsi="仿宋_GB2312" w:eastAsia="仿宋_GB2312" w:cs="仿宋_GB2312"/>
                <w:bCs/>
                <w:color w:val="000000"/>
                <w:kern w:val="0"/>
                <w:sz w:val="24"/>
                <w:szCs w:val="24"/>
                <w:lang w:val="en-US" w:eastAsia="zh-CN" w:bidi="ar"/>
              </w:rPr>
              <w:t>引企入教、</w:t>
            </w:r>
            <w:r>
              <w:rPr>
                <w:rFonts w:hint="default" w:ascii="仿宋_GB2312" w:hAnsi="仿宋_GB2312" w:eastAsia="仿宋_GB2312" w:cs="仿宋_GB2312"/>
                <w:bCs/>
                <w:color w:val="000000"/>
                <w:kern w:val="0"/>
                <w:sz w:val="24"/>
                <w:szCs w:val="24"/>
                <w:lang w:bidi="ar"/>
              </w:rPr>
              <w:t>产教融合”</w:t>
            </w:r>
            <w:r>
              <w:rPr>
                <w:rFonts w:hint="default" w:ascii="仿宋_GB2312" w:hAnsi="仿宋_GB2312" w:eastAsia="仿宋_GB2312" w:cs="仿宋_GB2312"/>
                <w:bCs/>
                <w:color w:val="000000"/>
                <w:kern w:val="0"/>
                <w:sz w:val="24"/>
                <w:szCs w:val="24"/>
                <w:lang w:val="en-US" w:eastAsia="zh-CN" w:bidi="ar"/>
              </w:rPr>
              <w:t>为</w:t>
            </w:r>
            <w:r>
              <w:rPr>
                <w:rFonts w:hint="eastAsia" w:ascii="仿宋_GB2312" w:hAnsi="仿宋_GB2312" w:eastAsia="仿宋_GB2312" w:cs="仿宋_GB2312"/>
                <w:bCs/>
                <w:color w:val="000000"/>
                <w:kern w:val="0"/>
                <w:sz w:val="24"/>
                <w:szCs w:val="24"/>
                <w:lang w:val="en-US" w:eastAsia="zh-CN" w:bidi="ar"/>
              </w:rPr>
              <w:t>导向</w:t>
            </w:r>
            <w:r>
              <w:rPr>
                <w:rFonts w:hint="default" w:ascii="仿宋_GB2312" w:hAnsi="仿宋_GB2312" w:eastAsia="仿宋_GB2312" w:cs="仿宋_GB2312"/>
                <w:bCs/>
                <w:color w:val="000000"/>
                <w:kern w:val="0"/>
                <w:sz w:val="24"/>
                <w:szCs w:val="24"/>
                <w:lang w:bidi="ar"/>
              </w:rPr>
              <w:t>，学科</w:t>
            </w:r>
            <w:r>
              <w:rPr>
                <w:rFonts w:hint="default" w:ascii="仿宋_GB2312" w:hAnsi="仿宋_GB2312" w:eastAsia="仿宋_GB2312" w:cs="仿宋_GB2312"/>
                <w:bCs/>
                <w:color w:val="000000"/>
                <w:kern w:val="0"/>
                <w:sz w:val="24"/>
                <w:szCs w:val="24"/>
                <w:lang w:val="en-US" w:eastAsia="zh-CN" w:bidi="ar"/>
              </w:rPr>
              <w:t>在</w:t>
            </w:r>
            <w:r>
              <w:rPr>
                <w:rFonts w:hint="eastAsia" w:ascii="仿宋_GB2312" w:hAnsi="仿宋_GB2312" w:eastAsia="仿宋_GB2312" w:cs="仿宋_GB2312"/>
                <w:bCs/>
                <w:color w:val="000000"/>
                <w:kern w:val="0"/>
                <w:sz w:val="24"/>
                <w:szCs w:val="24"/>
                <w:lang w:val="en-US" w:eastAsia="zh-CN" w:bidi="ar"/>
              </w:rPr>
              <w:t>新金融特别是</w:t>
            </w:r>
            <w:r>
              <w:rPr>
                <w:rFonts w:hint="default" w:ascii="仿宋_GB2312" w:hAnsi="仿宋_GB2312" w:eastAsia="仿宋_GB2312" w:cs="仿宋_GB2312"/>
                <w:bCs/>
                <w:color w:val="000000"/>
                <w:kern w:val="0"/>
                <w:sz w:val="24"/>
                <w:szCs w:val="24"/>
                <w:lang w:val="en-US" w:eastAsia="zh-CN" w:bidi="ar"/>
              </w:rPr>
              <w:t>金融科技</w:t>
            </w:r>
            <w:r>
              <w:rPr>
                <w:rFonts w:hint="eastAsia" w:ascii="仿宋_GB2312" w:hAnsi="仿宋_GB2312" w:eastAsia="仿宋_GB2312" w:cs="仿宋_GB2312"/>
                <w:bCs/>
                <w:color w:val="000000"/>
                <w:kern w:val="0"/>
                <w:sz w:val="24"/>
                <w:szCs w:val="24"/>
                <w:lang w:val="en-US" w:eastAsia="zh-CN" w:bidi="ar"/>
              </w:rPr>
              <w:t>、</w:t>
            </w:r>
            <w:r>
              <w:rPr>
                <w:rFonts w:hint="default" w:ascii="仿宋_GB2312" w:hAnsi="仿宋_GB2312" w:eastAsia="仿宋_GB2312" w:cs="仿宋_GB2312"/>
                <w:bCs/>
                <w:color w:val="000000"/>
                <w:kern w:val="0"/>
                <w:sz w:val="24"/>
                <w:szCs w:val="24"/>
                <w:lang w:val="en-US" w:eastAsia="zh-CN" w:bidi="ar"/>
              </w:rPr>
              <w:t>绿色金融</w:t>
            </w:r>
            <w:r>
              <w:rPr>
                <w:rFonts w:hint="eastAsia" w:ascii="仿宋_GB2312" w:hAnsi="仿宋_GB2312" w:eastAsia="仿宋_GB2312" w:cs="仿宋_GB2312"/>
                <w:bCs/>
                <w:color w:val="000000"/>
                <w:kern w:val="0"/>
                <w:sz w:val="24"/>
                <w:szCs w:val="24"/>
                <w:lang w:val="en-US" w:eastAsia="zh-CN" w:bidi="ar"/>
              </w:rPr>
              <w:t>、财富管理等</w:t>
            </w:r>
            <w:r>
              <w:rPr>
                <w:rFonts w:hint="default" w:ascii="仿宋_GB2312" w:hAnsi="仿宋_GB2312" w:eastAsia="仿宋_GB2312" w:cs="仿宋_GB2312"/>
                <w:bCs/>
                <w:color w:val="000000"/>
                <w:kern w:val="0"/>
                <w:sz w:val="24"/>
                <w:szCs w:val="24"/>
                <w:lang w:val="en-US" w:eastAsia="zh-CN" w:bidi="ar"/>
              </w:rPr>
              <w:t>行业发展</w:t>
            </w:r>
            <w:r>
              <w:rPr>
                <w:rFonts w:hint="eastAsia" w:ascii="仿宋_GB2312" w:hAnsi="仿宋_GB2312" w:eastAsia="仿宋_GB2312" w:cs="仿宋_GB2312"/>
                <w:bCs/>
                <w:color w:val="000000"/>
                <w:kern w:val="0"/>
                <w:sz w:val="24"/>
                <w:szCs w:val="24"/>
                <w:lang w:val="en-US" w:eastAsia="zh-CN" w:bidi="ar"/>
              </w:rPr>
              <w:t>前沿领域</w:t>
            </w:r>
            <w:r>
              <w:rPr>
                <w:rFonts w:hint="default" w:ascii="仿宋_GB2312" w:hAnsi="仿宋_GB2312" w:eastAsia="仿宋_GB2312" w:cs="仿宋_GB2312"/>
                <w:bCs/>
                <w:color w:val="000000"/>
                <w:kern w:val="0"/>
                <w:sz w:val="24"/>
                <w:szCs w:val="24"/>
                <w:lang w:val="en-US" w:eastAsia="zh-CN" w:bidi="ar"/>
              </w:rPr>
              <w:t>，具备较为强大的</w:t>
            </w:r>
            <w:r>
              <w:rPr>
                <w:rFonts w:hint="eastAsia" w:ascii="仿宋_GB2312" w:hAnsi="仿宋_GB2312" w:eastAsia="仿宋_GB2312" w:cs="仿宋_GB2312"/>
                <w:bCs/>
                <w:color w:val="000000"/>
                <w:kern w:val="0"/>
                <w:sz w:val="24"/>
                <w:szCs w:val="24"/>
                <w:lang w:val="en-US" w:eastAsia="zh-CN" w:bidi="ar"/>
              </w:rPr>
              <w:t>引领与</w:t>
            </w:r>
            <w:r>
              <w:rPr>
                <w:rFonts w:hint="default" w:ascii="仿宋_GB2312" w:hAnsi="仿宋_GB2312" w:eastAsia="仿宋_GB2312" w:cs="仿宋_GB2312"/>
                <w:bCs/>
                <w:color w:val="000000"/>
                <w:kern w:val="0"/>
                <w:sz w:val="24"/>
                <w:szCs w:val="24"/>
                <w:lang w:bidi="ar"/>
              </w:rPr>
              <w:t>支撑功能</w:t>
            </w:r>
            <w:r>
              <w:rPr>
                <w:rFonts w:hint="default" w:ascii="仿宋_GB2312" w:hAnsi="仿宋_GB2312" w:eastAsia="仿宋_GB2312" w:cs="仿宋_GB2312"/>
                <w:bCs/>
                <w:color w:val="000000"/>
                <w:kern w:val="0"/>
                <w:sz w:val="24"/>
                <w:szCs w:val="24"/>
                <w:lang w:eastAsia="zh-CN" w:bidi="ar"/>
              </w:rPr>
              <w:t>；（</w:t>
            </w:r>
            <w:r>
              <w:rPr>
                <w:rFonts w:hint="default" w:ascii="仿宋_GB2312" w:hAnsi="仿宋_GB2312" w:eastAsia="仿宋_GB2312" w:cs="仿宋_GB2312"/>
                <w:bCs/>
                <w:color w:val="000000"/>
                <w:kern w:val="0"/>
                <w:sz w:val="24"/>
                <w:szCs w:val="24"/>
                <w:lang w:val="en-US" w:eastAsia="zh-CN" w:bidi="ar"/>
              </w:rPr>
              <w:t>2</w:t>
            </w:r>
            <w:r>
              <w:rPr>
                <w:rFonts w:hint="default" w:ascii="仿宋_GB2312" w:hAnsi="仿宋_GB2312" w:eastAsia="仿宋_GB2312" w:cs="仿宋_GB2312"/>
                <w:bCs/>
                <w:color w:val="000000"/>
                <w:kern w:val="0"/>
                <w:sz w:val="24"/>
                <w:szCs w:val="24"/>
                <w:lang w:eastAsia="zh-CN" w:bidi="ar"/>
              </w:rPr>
              <w:t>）</w:t>
            </w:r>
            <w:r>
              <w:rPr>
                <w:rFonts w:hint="default" w:ascii="仿宋_GB2312" w:hAnsi="仿宋_GB2312" w:eastAsia="仿宋_GB2312" w:cs="仿宋_GB2312"/>
                <w:bCs/>
                <w:color w:val="000000"/>
                <w:kern w:val="0"/>
                <w:sz w:val="24"/>
                <w:szCs w:val="24"/>
                <w:lang w:val="en-US" w:eastAsia="zh-CN" w:bidi="ar"/>
              </w:rPr>
              <w:t>专业人才培养的跨文化、</w:t>
            </w:r>
            <w:r>
              <w:rPr>
                <w:rFonts w:hint="eastAsia" w:ascii="仿宋_GB2312" w:hAnsi="仿宋_GB2312" w:eastAsia="仿宋_GB2312" w:cs="仿宋_GB2312"/>
                <w:bCs/>
                <w:color w:val="000000"/>
                <w:kern w:val="0"/>
                <w:sz w:val="24"/>
                <w:szCs w:val="24"/>
                <w:lang w:val="en-US" w:eastAsia="zh-CN" w:bidi="ar"/>
              </w:rPr>
              <w:t>应用型</w:t>
            </w:r>
            <w:r>
              <w:rPr>
                <w:rFonts w:hint="default" w:ascii="仿宋_GB2312" w:hAnsi="仿宋_GB2312" w:eastAsia="仿宋_GB2312" w:cs="仿宋_GB2312"/>
                <w:bCs/>
                <w:color w:val="000000"/>
                <w:kern w:val="0"/>
                <w:sz w:val="24"/>
                <w:szCs w:val="24"/>
                <w:lang w:val="en-US" w:eastAsia="zh-CN" w:bidi="ar"/>
              </w:rPr>
              <w:t>特色更加突出，金融学科教师梯队整齐，素质得到全面</w:t>
            </w:r>
            <w:r>
              <w:rPr>
                <w:rFonts w:hint="default" w:ascii="仿宋_GB2312" w:hAnsi="仿宋_GB2312" w:eastAsia="仿宋_GB2312" w:cs="仿宋_GB2312"/>
                <w:bCs/>
                <w:color w:val="000000"/>
                <w:kern w:val="0"/>
                <w:sz w:val="24"/>
                <w:szCs w:val="24"/>
                <w:lang w:bidi="ar"/>
              </w:rPr>
              <w:t>提升</w:t>
            </w:r>
            <w:r>
              <w:rPr>
                <w:rFonts w:hint="default" w:ascii="仿宋_GB2312" w:hAnsi="仿宋_GB2312" w:eastAsia="仿宋_GB2312" w:cs="仿宋_GB2312"/>
                <w:bCs/>
                <w:color w:val="000000"/>
                <w:kern w:val="0"/>
                <w:sz w:val="24"/>
                <w:szCs w:val="24"/>
                <w:lang w:eastAsia="zh-CN" w:bidi="ar"/>
              </w:rPr>
              <w:t>；</w:t>
            </w:r>
            <w:r>
              <w:rPr>
                <w:rFonts w:hint="default" w:ascii="仿宋_GB2312" w:hAnsi="仿宋_GB2312" w:eastAsia="仿宋_GB2312" w:cs="仿宋_GB2312"/>
                <w:bCs/>
                <w:color w:val="000000"/>
                <w:kern w:val="0"/>
                <w:sz w:val="24"/>
                <w:szCs w:val="24"/>
                <w:lang w:val="en-US" w:eastAsia="zh-CN" w:bidi="ar"/>
              </w:rPr>
              <w:t>金融学专</w:t>
            </w:r>
            <w:r>
              <w:rPr>
                <w:rFonts w:hint="eastAsia" w:ascii="仿宋_GB2312" w:hAnsi="仿宋_GB2312" w:eastAsia="仿宋_GB2312" w:cs="仿宋_GB2312"/>
                <w:bCs/>
                <w:color w:val="000000"/>
                <w:kern w:val="0"/>
                <w:sz w:val="24"/>
                <w:szCs w:val="24"/>
                <w:lang w:val="en-US" w:eastAsia="zh-CN" w:bidi="ar"/>
              </w:rPr>
              <w:t xml:space="preserve"> </w:t>
            </w:r>
            <w:r>
              <w:rPr>
                <w:rFonts w:hint="default" w:ascii="仿宋_GB2312" w:hAnsi="仿宋_GB2312" w:eastAsia="仿宋_GB2312" w:cs="仿宋_GB2312"/>
                <w:bCs/>
                <w:color w:val="000000"/>
                <w:kern w:val="0"/>
                <w:sz w:val="24"/>
                <w:szCs w:val="24"/>
                <w:lang w:val="en-US" w:eastAsia="zh-CN" w:bidi="ar"/>
              </w:rPr>
              <w:t>业教学模式得到优化，人才培养质量得到金融行业的高度认可；（3）学科建设的地方性特色更加鲜明，金融学科服务国家战略特别是上海地方重大战略的能力得到较大幅度提升。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9" w:hRule="atLeast"/>
        </w:trPr>
        <w:tc>
          <w:tcPr>
            <w:tcW w:w="1124" w:type="dxa"/>
            <w:vMerge w:val="restart"/>
            <w:noWrap w:val="0"/>
            <w:vAlign w:val="center"/>
          </w:tcPr>
          <w:p>
            <w:pPr>
              <w:widowControl/>
              <w:jc w:val="left"/>
              <w:textAlignment w:val="center"/>
              <w:rPr>
                <w:rFonts w:hint="eastAsia" w:ascii="仿宋_GB2312" w:hAnsi="仿宋_GB2312" w:eastAsia="仿宋_GB2312" w:cs="仿宋_GB2312"/>
                <w:bCs/>
                <w:color w:val="000000"/>
                <w:sz w:val="24"/>
                <w:szCs w:val="24"/>
              </w:rPr>
            </w:pPr>
            <w:r>
              <w:rPr>
                <w:rFonts w:hint="eastAsia" w:ascii="仿宋_GB2312" w:hAnsi="仿宋_GB2312" w:eastAsia="仿宋_GB2312" w:cs="仿宋_GB2312"/>
                <w:bCs/>
                <w:color w:val="000000"/>
                <w:kern w:val="0"/>
                <w:sz w:val="24"/>
                <w:szCs w:val="24"/>
                <w:lang w:bidi="ar"/>
              </w:rPr>
              <w:t>二、学科队伍</w:t>
            </w:r>
          </w:p>
        </w:tc>
        <w:tc>
          <w:tcPr>
            <w:tcW w:w="1855" w:type="dxa"/>
            <w:noWrap w:val="0"/>
            <w:vAlign w:val="center"/>
          </w:tcPr>
          <w:p>
            <w:pPr>
              <w:widowControl/>
              <w:jc w:val="left"/>
              <w:textAlignment w:val="center"/>
              <w:rPr>
                <w:rFonts w:hint="eastAsia" w:ascii="仿宋_GB2312" w:hAnsi="仿宋_GB2312" w:eastAsia="仿宋_GB2312" w:cs="仿宋_GB2312"/>
                <w:bCs/>
                <w:color w:val="000000"/>
                <w:sz w:val="24"/>
                <w:szCs w:val="24"/>
              </w:rPr>
            </w:pPr>
            <w:r>
              <w:rPr>
                <w:rFonts w:hint="eastAsia" w:ascii="仿宋_GB2312" w:hAnsi="仿宋_GB2312" w:eastAsia="仿宋_GB2312" w:cs="仿宋_GB2312"/>
                <w:bCs/>
                <w:color w:val="000000"/>
                <w:kern w:val="0"/>
                <w:sz w:val="24"/>
                <w:szCs w:val="24"/>
                <w:lang w:bidi="ar"/>
              </w:rPr>
              <w:t>3.人员规模</w:t>
            </w:r>
          </w:p>
        </w:tc>
        <w:tc>
          <w:tcPr>
            <w:tcW w:w="2919" w:type="dxa"/>
            <w:noWrap w:val="0"/>
            <w:vAlign w:val="center"/>
          </w:tcPr>
          <w:p>
            <w:pPr>
              <w:jc w:val="left"/>
              <w:textAlignment w:val="baseline"/>
              <w:rPr>
                <w:rFonts w:hint="eastAsia" w:ascii="仿宋_GB2312" w:hAnsi="仿宋_GB2312" w:eastAsia="仿宋_GB2312" w:cs="仿宋_GB2312"/>
                <w:bCs/>
                <w:color w:val="000000"/>
                <w:kern w:val="0"/>
                <w:sz w:val="24"/>
                <w:szCs w:val="24"/>
                <w:lang w:bidi="ar"/>
              </w:rPr>
            </w:pPr>
            <w:r>
              <w:rPr>
                <w:rFonts w:hint="eastAsia" w:ascii="仿宋_GB2312" w:hAnsi="仿宋_GB2312" w:eastAsia="仿宋_GB2312" w:cs="仿宋_GB2312"/>
                <w:bCs/>
                <w:color w:val="000000"/>
                <w:kern w:val="0"/>
                <w:sz w:val="24"/>
                <w:szCs w:val="24"/>
                <w:lang w:bidi="ar"/>
              </w:rPr>
              <w:t>专业教师共16名，专任教师中，教授6人，副教授8人，讲师2人，具有博士学位的教师13人，高级职称教师占比81.25%。行业教师10人，其中具有博士学位的7人。</w:t>
            </w:r>
          </w:p>
        </w:tc>
        <w:tc>
          <w:tcPr>
            <w:tcW w:w="2712" w:type="dxa"/>
            <w:noWrap w:val="0"/>
            <w:vAlign w:val="top"/>
          </w:tcPr>
          <w:p>
            <w:pPr>
              <w:jc w:val="left"/>
              <w:textAlignment w:val="baseline"/>
              <w:rPr>
                <w:rFonts w:hint="eastAsia" w:ascii="仿宋_GB2312" w:hAnsi="仿宋_GB2312" w:eastAsia="仿宋_GB2312" w:cs="仿宋_GB2312"/>
                <w:bCs/>
                <w:color w:val="000000"/>
                <w:kern w:val="0"/>
                <w:sz w:val="24"/>
                <w:szCs w:val="24"/>
                <w:lang w:bidi="ar"/>
              </w:rPr>
            </w:pPr>
            <w:r>
              <w:rPr>
                <w:rFonts w:hint="default" w:ascii="仿宋_GB2312" w:hAnsi="仿宋_GB2312" w:eastAsia="仿宋_GB2312" w:cs="仿宋_GB2312"/>
                <w:bCs/>
                <w:color w:val="000000"/>
                <w:kern w:val="0"/>
                <w:sz w:val="24"/>
                <w:szCs w:val="24"/>
                <w:lang w:bidi="ar"/>
              </w:rPr>
              <w:t>专</w:t>
            </w:r>
            <w:r>
              <w:rPr>
                <w:rFonts w:hint="eastAsia" w:ascii="仿宋_GB2312" w:hAnsi="仿宋_GB2312" w:eastAsia="仿宋_GB2312" w:cs="仿宋_GB2312"/>
                <w:bCs/>
                <w:color w:val="000000"/>
                <w:kern w:val="0"/>
                <w:sz w:val="24"/>
                <w:szCs w:val="24"/>
                <w:lang w:val="en-US" w:eastAsia="zh-CN" w:bidi="ar"/>
              </w:rPr>
              <w:t>任</w:t>
            </w:r>
            <w:r>
              <w:rPr>
                <w:rFonts w:hint="default" w:ascii="仿宋_GB2312" w:hAnsi="仿宋_GB2312" w:eastAsia="仿宋_GB2312" w:cs="仿宋_GB2312"/>
                <w:bCs/>
                <w:color w:val="000000"/>
                <w:kern w:val="0"/>
                <w:sz w:val="24"/>
                <w:szCs w:val="24"/>
                <w:lang w:bidi="ar"/>
              </w:rPr>
              <w:t>教师</w:t>
            </w:r>
            <w:r>
              <w:rPr>
                <w:rFonts w:hint="eastAsia" w:ascii="仿宋_GB2312" w:hAnsi="仿宋_GB2312" w:eastAsia="仿宋_GB2312" w:cs="仿宋_GB2312"/>
                <w:bCs/>
                <w:color w:val="000000"/>
                <w:kern w:val="0"/>
                <w:sz w:val="24"/>
                <w:szCs w:val="24"/>
                <w:lang w:val="en-US" w:eastAsia="zh-CN" w:bidi="ar"/>
              </w:rPr>
              <w:t>20人</w:t>
            </w:r>
            <w:r>
              <w:rPr>
                <w:rFonts w:hint="default" w:ascii="仿宋_GB2312" w:hAnsi="仿宋_GB2312" w:eastAsia="仿宋_GB2312" w:cs="仿宋_GB2312"/>
                <w:bCs/>
                <w:color w:val="000000"/>
                <w:kern w:val="0"/>
                <w:sz w:val="24"/>
                <w:szCs w:val="24"/>
                <w:lang w:bidi="ar"/>
              </w:rPr>
              <w:t>，行业教师</w:t>
            </w:r>
            <w:r>
              <w:rPr>
                <w:rFonts w:hint="eastAsia" w:ascii="仿宋_GB2312" w:hAnsi="仿宋_GB2312" w:eastAsia="仿宋_GB2312" w:cs="仿宋_GB2312"/>
                <w:bCs/>
                <w:color w:val="000000"/>
                <w:kern w:val="0"/>
                <w:sz w:val="24"/>
                <w:szCs w:val="24"/>
                <w:lang w:val="en-US" w:eastAsia="zh-CN" w:bidi="ar"/>
              </w:rPr>
              <w:t>15</w:t>
            </w:r>
            <w:r>
              <w:rPr>
                <w:rFonts w:hint="default" w:ascii="仿宋_GB2312" w:hAnsi="仿宋_GB2312" w:eastAsia="仿宋_GB2312" w:cs="仿宋_GB2312"/>
                <w:bCs/>
                <w:color w:val="000000"/>
                <w:kern w:val="0"/>
                <w:sz w:val="24"/>
                <w:szCs w:val="24"/>
                <w:lang w:bidi="ar"/>
              </w:rPr>
              <w:t>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9" w:hRule="atLeast"/>
        </w:trPr>
        <w:tc>
          <w:tcPr>
            <w:tcW w:w="1124" w:type="dxa"/>
            <w:vMerge w:val="continue"/>
            <w:noWrap w:val="0"/>
            <w:vAlign w:val="center"/>
          </w:tcPr>
          <w:p>
            <w:pPr>
              <w:jc w:val="left"/>
              <w:rPr>
                <w:rFonts w:hint="eastAsia" w:ascii="仿宋_GB2312" w:hAnsi="仿宋_GB2312" w:eastAsia="仿宋_GB2312" w:cs="仿宋_GB2312"/>
                <w:bCs/>
                <w:color w:val="000000"/>
                <w:sz w:val="24"/>
                <w:szCs w:val="24"/>
              </w:rPr>
            </w:pPr>
          </w:p>
        </w:tc>
        <w:tc>
          <w:tcPr>
            <w:tcW w:w="1855" w:type="dxa"/>
            <w:noWrap w:val="0"/>
            <w:vAlign w:val="center"/>
          </w:tcPr>
          <w:p>
            <w:pPr>
              <w:widowControl/>
              <w:jc w:val="left"/>
              <w:textAlignment w:val="center"/>
              <w:rPr>
                <w:rFonts w:hint="eastAsia" w:ascii="仿宋_GB2312" w:hAnsi="仿宋_GB2312" w:eastAsia="仿宋_GB2312" w:cs="仿宋_GB2312"/>
                <w:bCs/>
                <w:color w:val="000000"/>
                <w:sz w:val="24"/>
                <w:szCs w:val="24"/>
              </w:rPr>
            </w:pPr>
            <w:r>
              <w:rPr>
                <w:rFonts w:hint="eastAsia" w:ascii="仿宋_GB2312" w:hAnsi="仿宋_GB2312" w:eastAsia="仿宋_GB2312" w:cs="仿宋_GB2312"/>
                <w:bCs/>
                <w:color w:val="000000"/>
                <w:kern w:val="0"/>
                <w:sz w:val="24"/>
                <w:szCs w:val="24"/>
                <w:lang w:bidi="ar"/>
              </w:rPr>
              <w:t>4.人员结构</w:t>
            </w:r>
          </w:p>
        </w:tc>
        <w:tc>
          <w:tcPr>
            <w:tcW w:w="2919" w:type="dxa"/>
            <w:noWrap w:val="0"/>
            <w:vAlign w:val="center"/>
          </w:tcPr>
          <w:p>
            <w:pPr>
              <w:jc w:val="left"/>
              <w:textAlignment w:val="baseline"/>
              <w:rPr>
                <w:rFonts w:hint="eastAsia" w:ascii="仿宋_GB2312" w:hAnsi="仿宋_GB2312" w:eastAsia="仿宋_GB2312" w:cs="仿宋_GB2312"/>
                <w:bCs/>
                <w:color w:val="000000"/>
                <w:kern w:val="0"/>
                <w:sz w:val="24"/>
                <w:szCs w:val="24"/>
                <w:lang w:bidi="ar"/>
              </w:rPr>
            </w:pPr>
            <w:r>
              <w:rPr>
                <w:rFonts w:hint="eastAsia" w:ascii="仿宋_GB2312" w:hAnsi="仿宋_GB2312" w:eastAsia="仿宋_GB2312" w:cs="仿宋_GB2312"/>
                <w:bCs/>
                <w:color w:val="000000"/>
                <w:kern w:val="0"/>
                <w:sz w:val="24"/>
                <w:szCs w:val="24"/>
                <w:lang w:bidi="ar"/>
              </w:rPr>
              <w:t>高级职称教师14人，占比87.5%，但正高职称教师年龄都在55岁以上，45岁以下教师7人，占比44%，为副教授或讲师职称，拟担任金融硕士课程授课任务教师都具有高级职称或博士学位，具有博士学位的教师占比81.25%</w:t>
            </w:r>
          </w:p>
        </w:tc>
        <w:tc>
          <w:tcPr>
            <w:tcW w:w="2712" w:type="dxa"/>
            <w:noWrap w:val="0"/>
            <w:vAlign w:val="center"/>
          </w:tcPr>
          <w:p>
            <w:pPr>
              <w:jc w:val="left"/>
              <w:textAlignment w:val="baseline"/>
              <w:rPr>
                <w:rFonts w:hint="eastAsia" w:ascii="仿宋_GB2312" w:hAnsi="仿宋_GB2312" w:eastAsia="仿宋_GB2312" w:cs="仿宋_GB2312"/>
                <w:bCs/>
                <w:color w:val="000000"/>
                <w:kern w:val="0"/>
                <w:sz w:val="24"/>
                <w:szCs w:val="24"/>
                <w:lang w:bidi="ar"/>
              </w:rPr>
            </w:pPr>
            <w:r>
              <w:rPr>
                <w:rFonts w:hint="default" w:ascii="仿宋_GB2312" w:hAnsi="仿宋_GB2312" w:eastAsia="仿宋_GB2312" w:cs="仿宋_GB2312"/>
                <w:bCs/>
                <w:color w:val="000000"/>
                <w:kern w:val="0"/>
                <w:sz w:val="24"/>
                <w:szCs w:val="24"/>
                <w:lang w:bidi="ar"/>
              </w:rPr>
              <w:t>高级职称教师占比</w:t>
            </w:r>
            <w:r>
              <w:rPr>
                <w:rFonts w:hint="eastAsia" w:ascii="仿宋_GB2312" w:hAnsi="仿宋_GB2312" w:eastAsia="仿宋_GB2312" w:cs="仿宋_GB2312"/>
                <w:bCs/>
                <w:color w:val="000000"/>
                <w:kern w:val="0"/>
                <w:sz w:val="24"/>
                <w:szCs w:val="24"/>
                <w:lang w:val="en-US" w:eastAsia="zh-CN" w:bidi="ar"/>
              </w:rPr>
              <w:t>50.0</w:t>
            </w:r>
            <w:r>
              <w:rPr>
                <w:rFonts w:hint="default" w:ascii="仿宋_GB2312" w:hAnsi="仿宋_GB2312" w:eastAsia="仿宋_GB2312" w:cs="仿宋_GB2312"/>
                <w:bCs/>
                <w:color w:val="000000"/>
                <w:kern w:val="0"/>
                <w:sz w:val="24"/>
                <w:szCs w:val="24"/>
                <w:lang w:bidi="ar"/>
              </w:rPr>
              <w:t>%</w:t>
            </w:r>
            <w:r>
              <w:rPr>
                <w:rFonts w:hint="eastAsia" w:ascii="仿宋_GB2312" w:hAnsi="仿宋_GB2312" w:eastAsia="仿宋_GB2312" w:cs="仿宋_GB2312"/>
                <w:bCs/>
                <w:color w:val="000000"/>
                <w:kern w:val="0"/>
                <w:sz w:val="24"/>
                <w:szCs w:val="24"/>
                <w:lang w:val="en-US" w:eastAsia="zh-CN" w:bidi="ar"/>
              </w:rPr>
              <w:t>以上</w:t>
            </w:r>
            <w:r>
              <w:rPr>
                <w:rFonts w:hint="eastAsia" w:ascii="仿宋_GB2312" w:hAnsi="仿宋_GB2312" w:eastAsia="仿宋_GB2312" w:cs="仿宋_GB2312"/>
                <w:bCs/>
                <w:color w:val="000000"/>
                <w:kern w:val="0"/>
                <w:sz w:val="24"/>
                <w:szCs w:val="24"/>
                <w:lang w:eastAsia="zh-CN" w:bidi="ar"/>
              </w:rPr>
              <w:t>；</w:t>
            </w:r>
            <w:r>
              <w:rPr>
                <w:rFonts w:hint="eastAsia" w:ascii="仿宋_GB2312" w:hAnsi="仿宋_GB2312" w:eastAsia="仿宋_GB2312" w:cs="仿宋_GB2312"/>
                <w:bCs/>
                <w:color w:val="000000"/>
                <w:kern w:val="0"/>
                <w:sz w:val="24"/>
                <w:szCs w:val="24"/>
                <w:lang w:val="en-US" w:eastAsia="zh-CN" w:bidi="ar"/>
              </w:rPr>
              <w:t>45</w:t>
            </w:r>
            <w:r>
              <w:rPr>
                <w:rFonts w:hint="default" w:ascii="仿宋_GB2312" w:hAnsi="仿宋_GB2312" w:eastAsia="仿宋_GB2312" w:cs="仿宋_GB2312"/>
                <w:bCs/>
                <w:color w:val="000000"/>
                <w:kern w:val="0"/>
                <w:sz w:val="24"/>
                <w:szCs w:val="24"/>
                <w:lang w:bidi="ar"/>
              </w:rPr>
              <w:t>岁以下</w:t>
            </w:r>
            <w:r>
              <w:rPr>
                <w:rFonts w:hint="eastAsia" w:ascii="仿宋_GB2312" w:hAnsi="仿宋_GB2312" w:eastAsia="仿宋_GB2312" w:cs="仿宋_GB2312"/>
                <w:bCs/>
                <w:color w:val="000000"/>
                <w:kern w:val="0"/>
                <w:sz w:val="24"/>
                <w:szCs w:val="24"/>
                <w:lang w:val="en-US" w:eastAsia="zh-CN" w:bidi="ar"/>
              </w:rPr>
              <w:t>教师</w:t>
            </w:r>
            <w:r>
              <w:rPr>
                <w:rFonts w:hint="default" w:ascii="仿宋_GB2312" w:hAnsi="仿宋_GB2312" w:eastAsia="仿宋_GB2312" w:cs="仿宋_GB2312"/>
                <w:bCs/>
                <w:color w:val="000000"/>
                <w:kern w:val="0"/>
                <w:sz w:val="24"/>
                <w:szCs w:val="24"/>
                <w:lang w:bidi="ar"/>
              </w:rPr>
              <w:t>占比</w:t>
            </w:r>
            <w:r>
              <w:rPr>
                <w:rFonts w:hint="eastAsia" w:ascii="仿宋_GB2312" w:hAnsi="仿宋_GB2312" w:eastAsia="仿宋_GB2312" w:cs="仿宋_GB2312"/>
                <w:bCs/>
                <w:color w:val="000000"/>
                <w:kern w:val="0"/>
                <w:sz w:val="24"/>
                <w:szCs w:val="24"/>
                <w:lang w:val="en-US" w:eastAsia="zh-CN" w:bidi="ar"/>
              </w:rPr>
              <w:t>达到50.0</w:t>
            </w:r>
            <w:r>
              <w:rPr>
                <w:rFonts w:hint="default" w:ascii="仿宋_GB2312" w:hAnsi="仿宋_GB2312" w:eastAsia="仿宋_GB2312" w:cs="仿宋_GB2312"/>
                <w:bCs/>
                <w:color w:val="000000"/>
                <w:kern w:val="0"/>
                <w:sz w:val="24"/>
                <w:szCs w:val="24"/>
                <w:lang w:bidi="ar"/>
              </w:rPr>
              <w:t>%</w:t>
            </w:r>
            <w:r>
              <w:rPr>
                <w:rFonts w:hint="eastAsia" w:ascii="仿宋_GB2312" w:hAnsi="仿宋_GB2312" w:eastAsia="仿宋_GB2312" w:cs="仿宋_GB2312"/>
                <w:bCs/>
                <w:color w:val="000000"/>
                <w:kern w:val="0"/>
                <w:sz w:val="24"/>
                <w:szCs w:val="24"/>
                <w:lang w:eastAsia="zh-CN" w:bidi="ar"/>
              </w:rPr>
              <w:t>；</w:t>
            </w:r>
            <w:r>
              <w:rPr>
                <w:rFonts w:hint="default" w:ascii="仿宋_GB2312" w:hAnsi="仿宋_GB2312" w:eastAsia="仿宋_GB2312" w:cs="仿宋_GB2312"/>
                <w:bCs/>
                <w:color w:val="000000"/>
                <w:kern w:val="0"/>
                <w:sz w:val="24"/>
                <w:szCs w:val="24"/>
                <w:lang w:bidi="ar"/>
              </w:rPr>
              <w:t>具有博士学位</w:t>
            </w:r>
            <w:r>
              <w:rPr>
                <w:rFonts w:hint="eastAsia" w:ascii="仿宋_GB2312" w:hAnsi="仿宋_GB2312" w:eastAsia="仿宋_GB2312" w:cs="仿宋_GB2312"/>
                <w:bCs/>
                <w:color w:val="000000"/>
                <w:kern w:val="0"/>
                <w:sz w:val="24"/>
                <w:szCs w:val="24"/>
                <w:lang w:val="en-US" w:eastAsia="zh-CN" w:bidi="ar"/>
              </w:rPr>
              <w:t>教师</w:t>
            </w:r>
            <w:r>
              <w:rPr>
                <w:rFonts w:hint="default" w:ascii="仿宋_GB2312" w:hAnsi="仿宋_GB2312" w:eastAsia="仿宋_GB2312" w:cs="仿宋_GB2312"/>
                <w:bCs/>
                <w:color w:val="000000"/>
                <w:kern w:val="0"/>
                <w:sz w:val="24"/>
                <w:szCs w:val="24"/>
                <w:lang w:bidi="ar"/>
              </w:rPr>
              <w:t>占比</w:t>
            </w:r>
            <w:r>
              <w:rPr>
                <w:rFonts w:hint="eastAsia" w:ascii="仿宋_GB2312" w:hAnsi="仿宋_GB2312" w:eastAsia="仿宋_GB2312" w:cs="仿宋_GB2312"/>
                <w:bCs/>
                <w:color w:val="000000"/>
                <w:kern w:val="0"/>
                <w:sz w:val="24"/>
                <w:szCs w:val="24"/>
                <w:lang w:val="en-US" w:eastAsia="zh-CN" w:bidi="ar"/>
              </w:rPr>
              <w:t>70.0%;双师型或具有国际化教育背景教师</w:t>
            </w:r>
            <w:r>
              <w:rPr>
                <w:rFonts w:hint="default" w:ascii="仿宋_GB2312" w:hAnsi="仿宋_GB2312" w:eastAsia="仿宋_GB2312" w:cs="仿宋_GB2312"/>
                <w:bCs/>
                <w:color w:val="000000"/>
                <w:kern w:val="0"/>
                <w:sz w:val="24"/>
                <w:szCs w:val="24"/>
                <w:lang w:bidi="ar"/>
              </w:rPr>
              <w:t>占比</w:t>
            </w:r>
            <w:r>
              <w:rPr>
                <w:rFonts w:hint="eastAsia" w:ascii="仿宋_GB2312" w:hAnsi="仿宋_GB2312" w:eastAsia="仿宋_GB2312" w:cs="仿宋_GB2312"/>
                <w:bCs/>
                <w:color w:val="000000"/>
                <w:kern w:val="0"/>
                <w:sz w:val="24"/>
                <w:szCs w:val="24"/>
                <w:lang w:val="en-US" w:eastAsia="zh-CN" w:bidi="ar"/>
              </w:rPr>
              <w:t>达到75.0%。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9" w:hRule="atLeast"/>
        </w:trPr>
        <w:tc>
          <w:tcPr>
            <w:tcW w:w="1124" w:type="dxa"/>
            <w:vMerge w:val="continue"/>
            <w:noWrap w:val="0"/>
            <w:vAlign w:val="center"/>
          </w:tcPr>
          <w:p>
            <w:pPr>
              <w:jc w:val="left"/>
              <w:rPr>
                <w:rFonts w:hint="eastAsia" w:ascii="仿宋_GB2312" w:hAnsi="仿宋_GB2312" w:eastAsia="仿宋_GB2312" w:cs="仿宋_GB2312"/>
                <w:bCs/>
                <w:color w:val="000000"/>
                <w:sz w:val="24"/>
                <w:szCs w:val="24"/>
              </w:rPr>
            </w:pPr>
          </w:p>
        </w:tc>
        <w:tc>
          <w:tcPr>
            <w:tcW w:w="1855" w:type="dxa"/>
            <w:noWrap w:val="0"/>
            <w:vAlign w:val="center"/>
          </w:tcPr>
          <w:p>
            <w:pPr>
              <w:widowControl/>
              <w:jc w:val="left"/>
              <w:textAlignment w:val="center"/>
              <w:rPr>
                <w:rFonts w:hint="eastAsia" w:ascii="仿宋_GB2312" w:hAnsi="仿宋_GB2312" w:eastAsia="仿宋_GB2312" w:cs="仿宋_GB2312"/>
                <w:bCs/>
                <w:color w:val="000000"/>
                <w:sz w:val="24"/>
                <w:szCs w:val="24"/>
              </w:rPr>
            </w:pPr>
            <w:r>
              <w:rPr>
                <w:rFonts w:hint="eastAsia" w:ascii="仿宋_GB2312" w:hAnsi="仿宋_GB2312" w:eastAsia="仿宋_GB2312" w:cs="仿宋_GB2312"/>
                <w:bCs/>
                <w:color w:val="000000"/>
                <w:kern w:val="0"/>
                <w:sz w:val="24"/>
                <w:szCs w:val="24"/>
                <w:lang w:bidi="ar"/>
              </w:rPr>
              <w:t>5.学科带头人与学术骨干</w:t>
            </w:r>
          </w:p>
        </w:tc>
        <w:tc>
          <w:tcPr>
            <w:tcW w:w="2919" w:type="dxa"/>
            <w:noWrap w:val="0"/>
            <w:vAlign w:val="center"/>
          </w:tcPr>
          <w:p>
            <w:pPr>
              <w:jc w:val="left"/>
              <w:textAlignment w:val="baseline"/>
              <w:rPr>
                <w:rFonts w:hint="eastAsia" w:ascii="仿宋_GB2312" w:hAnsi="仿宋_GB2312" w:eastAsia="仿宋_GB2312" w:cs="仿宋_GB2312"/>
                <w:bCs/>
                <w:color w:val="000000"/>
                <w:kern w:val="0"/>
                <w:sz w:val="24"/>
                <w:szCs w:val="24"/>
                <w:lang w:bidi="ar"/>
              </w:rPr>
            </w:pPr>
            <w:r>
              <w:rPr>
                <w:rFonts w:hint="eastAsia" w:ascii="仿宋_GB2312" w:hAnsi="仿宋_GB2312" w:eastAsia="仿宋_GB2312" w:cs="仿宋_GB2312"/>
                <w:bCs/>
                <w:color w:val="000000"/>
                <w:kern w:val="0"/>
                <w:sz w:val="24"/>
                <w:szCs w:val="24"/>
                <w:lang w:bidi="ar"/>
              </w:rPr>
              <w:t>学科带头人为博士生导师，已在《控制论》(美国)、《系统科学与应用进展》(美国)、《管理科学学报》、《系统管理学报》等学术期刊发表论文60篇，出版专著5部。主持1项国家自然科学基金、1项教育部规划基金和2项省部级基金项目, 获得1项省部级科技进步三等奖和2项优秀论文三等奖。</w:t>
            </w:r>
          </w:p>
        </w:tc>
        <w:tc>
          <w:tcPr>
            <w:tcW w:w="2712" w:type="dxa"/>
            <w:noWrap w:val="0"/>
            <w:vAlign w:val="top"/>
          </w:tcPr>
          <w:p>
            <w:pPr>
              <w:jc w:val="left"/>
              <w:textAlignment w:val="baseline"/>
              <w:rPr>
                <w:rFonts w:hint="eastAsia" w:ascii="仿宋_GB2312" w:hAnsi="仿宋_GB2312" w:eastAsia="仿宋_GB2312" w:cs="仿宋_GB2312"/>
                <w:bCs/>
                <w:color w:val="000000"/>
                <w:kern w:val="0"/>
                <w:sz w:val="24"/>
                <w:szCs w:val="24"/>
                <w:lang w:bidi="ar"/>
              </w:rPr>
            </w:pPr>
            <w:r>
              <w:rPr>
                <w:rFonts w:hint="eastAsia" w:ascii="仿宋_GB2312" w:hAnsi="仿宋_GB2312" w:eastAsia="仿宋_GB2312" w:cs="仿宋_GB2312"/>
                <w:bCs/>
                <w:color w:val="000000"/>
                <w:kern w:val="0"/>
                <w:sz w:val="24"/>
                <w:szCs w:val="24"/>
                <w:lang w:val="en-US" w:eastAsia="zh-CN" w:bidi="ar"/>
              </w:rPr>
              <w:t>根据学科方向（领域），</w:t>
            </w:r>
            <w:r>
              <w:rPr>
                <w:rFonts w:hint="default" w:ascii="仿宋_GB2312" w:hAnsi="仿宋_GB2312" w:eastAsia="仿宋_GB2312" w:cs="仿宋_GB2312"/>
                <w:bCs/>
                <w:color w:val="000000"/>
                <w:kern w:val="0"/>
                <w:sz w:val="24"/>
                <w:szCs w:val="24"/>
                <w:lang w:val="en-US" w:eastAsia="zh-CN" w:bidi="ar"/>
              </w:rPr>
              <w:t>金融</w:t>
            </w:r>
            <w:r>
              <w:rPr>
                <w:rFonts w:hint="default" w:ascii="仿宋_GB2312" w:hAnsi="仿宋_GB2312" w:eastAsia="仿宋_GB2312" w:cs="仿宋_GB2312"/>
                <w:bCs/>
                <w:color w:val="000000"/>
                <w:kern w:val="0"/>
                <w:sz w:val="24"/>
                <w:szCs w:val="24"/>
                <w:lang w:bidi="ar"/>
              </w:rPr>
              <w:t>学科带头人</w:t>
            </w:r>
            <w:r>
              <w:rPr>
                <w:rFonts w:hint="eastAsia" w:ascii="仿宋_GB2312" w:hAnsi="仿宋_GB2312" w:eastAsia="仿宋_GB2312" w:cs="仿宋_GB2312"/>
                <w:bCs/>
                <w:color w:val="000000"/>
                <w:kern w:val="0"/>
                <w:sz w:val="24"/>
                <w:szCs w:val="24"/>
                <w:lang w:val="en-US" w:eastAsia="zh-CN" w:bidi="ar"/>
              </w:rPr>
              <w:t>达到</w:t>
            </w:r>
            <w:r>
              <w:rPr>
                <w:rFonts w:hint="default" w:ascii="仿宋_GB2312" w:hAnsi="仿宋_GB2312" w:eastAsia="仿宋_GB2312" w:cs="仿宋_GB2312"/>
                <w:bCs/>
                <w:color w:val="000000"/>
                <w:kern w:val="0"/>
                <w:sz w:val="24"/>
                <w:szCs w:val="24"/>
                <w:lang w:val="en-US" w:eastAsia="zh-CN" w:bidi="ar"/>
              </w:rPr>
              <w:t>2-3人</w:t>
            </w:r>
            <w:r>
              <w:rPr>
                <w:rFonts w:hint="default" w:ascii="仿宋_GB2312" w:hAnsi="仿宋_GB2312" w:eastAsia="仿宋_GB2312" w:cs="仿宋_GB2312"/>
                <w:bCs/>
                <w:color w:val="000000"/>
                <w:kern w:val="0"/>
                <w:sz w:val="24"/>
                <w:szCs w:val="24"/>
                <w:lang w:eastAsia="zh-CN" w:bidi="ar"/>
              </w:rPr>
              <w:t>，</w:t>
            </w:r>
            <w:r>
              <w:rPr>
                <w:rFonts w:hint="default" w:ascii="仿宋_GB2312" w:hAnsi="仿宋_GB2312" w:eastAsia="仿宋_GB2312" w:cs="仿宋_GB2312"/>
                <w:bCs/>
                <w:color w:val="000000"/>
                <w:kern w:val="0"/>
                <w:sz w:val="24"/>
                <w:szCs w:val="24"/>
                <w:lang w:val="en-US" w:eastAsia="zh-CN" w:bidi="ar"/>
              </w:rPr>
              <w:t>各学科方向</w:t>
            </w:r>
            <w:r>
              <w:rPr>
                <w:rFonts w:hint="eastAsia" w:ascii="仿宋_GB2312" w:hAnsi="仿宋_GB2312" w:eastAsia="仿宋_GB2312" w:cs="仿宋_GB2312"/>
                <w:bCs/>
                <w:color w:val="000000"/>
                <w:kern w:val="0"/>
                <w:sz w:val="24"/>
                <w:szCs w:val="24"/>
                <w:lang w:val="en-US" w:eastAsia="zh-CN" w:bidi="ar"/>
              </w:rPr>
              <w:t>（领域）</w:t>
            </w:r>
            <w:r>
              <w:rPr>
                <w:rFonts w:hint="default" w:ascii="仿宋_GB2312" w:hAnsi="仿宋_GB2312" w:eastAsia="仿宋_GB2312" w:cs="仿宋_GB2312"/>
                <w:bCs/>
                <w:color w:val="000000"/>
                <w:kern w:val="0"/>
                <w:sz w:val="24"/>
                <w:szCs w:val="24"/>
                <w:lang w:val="en-US" w:eastAsia="zh-CN" w:bidi="ar"/>
              </w:rPr>
              <w:t>的</w:t>
            </w:r>
            <w:r>
              <w:rPr>
                <w:rFonts w:hint="default" w:ascii="仿宋_GB2312" w:hAnsi="仿宋_GB2312" w:eastAsia="仿宋_GB2312" w:cs="仿宋_GB2312"/>
                <w:bCs/>
                <w:color w:val="000000"/>
                <w:kern w:val="0"/>
                <w:sz w:val="24"/>
                <w:szCs w:val="24"/>
                <w:lang w:bidi="ar"/>
              </w:rPr>
              <w:t>学术骨干</w:t>
            </w:r>
            <w:r>
              <w:rPr>
                <w:rFonts w:hint="default" w:ascii="仿宋_GB2312" w:hAnsi="仿宋_GB2312" w:eastAsia="仿宋_GB2312" w:cs="仿宋_GB2312"/>
                <w:bCs/>
                <w:color w:val="000000"/>
                <w:kern w:val="0"/>
                <w:sz w:val="24"/>
                <w:szCs w:val="24"/>
                <w:lang w:val="en-US" w:eastAsia="zh-CN" w:bidi="ar"/>
              </w:rPr>
              <w:t>分别达到</w:t>
            </w:r>
            <w:r>
              <w:rPr>
                <w:rFonts w:hint="eastAsia" w:ascii="仿宋_GB2312" w:hAnsi="仿宋_GB2312" w:eastAsia="仿宋_GB2312" w:cs="仿宋_GB2312"/>
                <w:bCs/>
                <w:color w:val="000000"/>
                <w:kern w:val="0"/>
                <w:sz w:val="24"/>
                <w:szCs w:val="24"/>
                <w:lang w:val="en-US" w:eastAsia="zh-CN" w:bidi="ar"/>
              </w:rPr>
              <w:t>8</w:t>
            </w:r>
            <w:r>
              <w:rPr>
                <w:rFonts w:hint="default" w:ascii="仿宋_GB2312" w:hAnsi="仿宋_GB2312" w:eastAsia="仿宋_GB2312" w:cs="仿宋_GB2312"/>
                <w:bCs/>
                <w:color w:val="000000"/>
                <w:kern w:val="0"/>
                <w:sz w:val="24"/>
                <w:szCs w:val="24"/>
                <w:lang w:val="en-US" w:eastAsia="zh-CN" w:bidi="ar"/>
              </w:rPr>
              <w:t>-</w:t>
            </w:r>
            <w:r>
              <w:rPr>
                <w:rFonts w:hint="eastAsia" w:ascii="仿宋_GB2312" w:hAnsi="仿宋_GB2312" w:eastAsia="仿宋_GB2312" w:cs="仿宋_GB2312"/>
                <w:bCs/>
                <w:color w:val="000000"/>
                <w:kern w:val="0"/>
                <w:sz w:val="24"/>
                <w:szCs w:val="24"/>
                <w:lang w:val="en-US" w:eastAsia="zh-CN" w:bidi="ar"/>
              </w:rPr>
              <w:t>10</w:t>
            </w:r>
            <w:r>
              <w:rPr>
                <w:rFonts w:hint="default" w:ascii="仿宋_GB2312" w:hAnsi="仿宋_GB2312" w:eastAsia="仿宋_GB2312" w:cs="仿宋_GB2312"/>
                <w:bCs/>
                <w:color w:val="000000"/>
                <w:kern w:val="0"/>
                <w:sz w:val="24"/>
                <w:szCs w:val="24"/>
                <w:lang w:val="en-US" w:eastAsia="zh-CN" w:bidi="ar"/>
              </w:rPr>
              <w:t>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9" w:hRule="atLeast"/>
        </w:trPr>
        <w:tc>
          <w:tcPr>
            <w:tcW w:w="1124" w:type="dxa"/>
            <w:vMerge w:val="restart"/>
            <w:noWrap w:val="0"/>
            <w:vAlign w:val="center"/>
          </w:tcPr>
          <w:p>
            <w:pPr>
              <w:widowControl/>
              <w:jc w:val="left"/>
              <w:textAlignment w:val="center"/>
              <w:rPr>
                <w:rFonts w:hint="eastAsia" w:ascii="仿宋_GB2312" w:hAnsi="仿宋_GB2312" w:eastAsia="仿宋_GB2312" w:cs="仿宋_GB2312"/>
                <w:bCs/>
                <w:color w:val="000000"/>
                <w:sz w:val="24"/>
                <w:szCs w:val="24"/>
              </w:rPr>
            </w:pPr>
            <w:r>
              <w:rPr>
                <w:rFonts w:hint="eastAsia" w:ascii="仿宋_GB2312" w:hAnsi="仿宋_GB2312" w:eastAsia="仿宋_GB2312" w:cs="仿宋_GB2312"/>
                <w:bCs/>
                <w:color w:val="000000"/>
                <w:kern w:val="0"/>
                <w:sz w:val="24"/>
                <w:szCs w:val="24"/>
                <w:lang w:bidi="ar"/>
              </w:rPr>
              <w:t>三、人才培养</w:t>
            </w:r>
          </w:p>
        </w:tc>
        <w:tc>
          <w:tcPr>
            <w:tcW w:w="1855" w:type="dxa"/>
            <w:noWrap w:val="0"/>
            <w:vAlign w:val="center"/>
          </w:tcPr>
          <w:p>
            <w:pPr>
              <w:widowControl/>
              <w:jc w:val="left"/>
              <w:textAlignment w:val="center"/>
              <w:rPr>
                <w:rFonts w:hint="eastAsia" w:ascii="仿宋_GB2312" w:hAnsi="仿宋_GB2312" w:eastAsia="仿宋_GB2312" w:cs="仿宋_GB2312"/>
                <w:bCs/>
                <w:color w:val="000000"/>
                <w:sz w:val="24"/>
                <w:szCs w:val="24"/>
              </w:rPr>
            </w:pPr>
            <w:r>
              <w:rPr>
                <w:rFonts w:hint="eastAsia" w:ascii="仿宋_GB2312" w:hAnsi="仿宋_GB2312" w:eastAsia="仿宋_GB2312" w:cs="仿宋_GB2312"/>
                <w:bCs/>
                <w:color w:val="000000"/>
                <w:kern w:val="0"/>
                <w:sz w:val="24"/>
                <w:szCs w:val="24"/>
                <w:lang w:bidi="ar"/>
              </w:rPr>
              <w:t>6.培养概况</w:t>
            </w:r>
          </w:p>
        </w:tc>
        <w:tc>
          <w:tcPr>
            <w:tcW w:w="2919" w:type="dxa"/>
            <w:noWrap w:val="0"/>
            <w:vAlign w:val="center"/>
          </w:tcPr>
          <w:p>
            <w:pPr>
              <w:jc w:val="left"/>
              <w:textAlignment w:val="baseline"/>
              <w:rPr>
                <w:rFonts w:hint="eastAsia" w:ascii="仿宋_GB2312" w:hAnsi="仿宋_GB2312" w:eastAsia="仿宋_GB2312" w:cs="仿宋_GB2312"/>
                <w:bCs/>
                <w:color w:val="000000"/>
                <w:kern w:val="0"/>
                <w:sz w:val="24"/>
                <w:szCs w:val="24"/>
                <w:lang w:bidi="ar"/>
              </w:rPr>
            </w:pPr>
            <w:r>
              <w:rPr>
                <w:rFonts w:hint="eastAsia" w:ascii="仿宋_GB2312" w:hAnsi="仿宋_GB2312" w:eastAsia="仿宋_GB2312" w:cs="仿宋_GB2312"/>
                <w:bCs/>
                <w:color w:val="000000"/>
                <w:kern w:val="0"/>
                <w:sz w:val="24"/>
                <w:szCs w:val="24"/>
                <w:lang w:bidi="ar"/>
              </w:rPr>
              <w:t>本科专业于2004年开设并招生。修业年限：四年，金融学学士学位。</w:t>
            </w:r>
          </w:p>
        </w:tc>
        <w:tc>
          <w:tcPr>
            <w:tcW w:w="2712" w:type="dxa"/>
            <w:noWrap w:val="0"/>
            <w:vAlign w:val="center"/>
          </w:tcPr>
          <w:p>
            <w:pPr>
              <w:jc w:val="left"/>
              <w:textAlignment w:val="baseline"/>
              <w:rPr>
                <w:rFonts w:hint="eastAsia" w:ascii="仿宋_GB2312" w:hAnsi="仿宋_GB2312" w:eastAsia="仿宋_GB2312" w:cs="仿宋_GB2312"/>
                <w:bCs/>
                <w:color w:val="000000"/>
                <w:kern w:val="0"/>
                <w:sz w:val="24"/>
                <w:szCs w:val="24"/>
                <w:lang w:bidi="ar"/>
              </w:rPr>
            </w:pPr>
            <w:r>
              <w:rPr>
                <w:rFonts w:hint="eastAsia" w:ascii="仿宋_GB2312" w:hAnsi="仿宋_GB2312" w:eastAsia="仿宋_GB2312" w:cs="仿宋_GB2312"/>
                <w:bCs/>
                <w:color w:val="000000"/>
                <w:kern w:val="0"/>
                <w:sz w:val="24"/>
                <w:szCs w:val="24"/>
                <w:lang w:bidi="ar"/>
              </w:rPr>
              <w:t>修业年限：二年，金融硕士专业学位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29" w:hRule="atLeast"/>
        </w:trPr>
        <w:tc>
          <w:tcPr>
            <w:tcW w:w="1124" w:type="dxa"/>
            <w:vMerge w:val="continue"/>
            <w:noWrap w:val="0"/>
            <w:vAlign w:val="center"/>
          </w:tcPr>
          <w:p>
            <w:pPr>
              <w:jc w:val="left"/>
              <w:rPr>
                <w:rFonts w:hint="eastAsia" w:ascii="仿宋_GB2312" w:hAnsi="仿宋_GB2312" w:eastAsia="仿宋_GB2312" w:cs="仿宋_GB2312"/>
                <w:bCs/>
                <w:color w:val="000000"/>
                <w:sz w:val="24"/>
                <w:szCs w:val="24"/>
              </w:rPr>
            </w:pPr>
          </w:p>
        </w:tc>
        <w:tc>
          <w:tcPr>
            <w:tcW w:w="1855" w:type="dxa"/>
            <w:noWrap w:val="0"/>
            <w:vAlign w:val="center"/>
          </w:tcPr>
          <w:p>
            <w:pPr>
              <w:widowControl/>
              <w:jc w:val="left"/>
              <w:textAlignment w:val="center"/>
              <w:rPr>
                <w:rFonts w:hint="eastAsia" w:ascii="仿宋_GB2312" w:hAnsi="仿宋_GB2312" w:eastAsia="仿宋_GB2312" w:cs="仿宋_GB2312"/>
                <w:bCs/>
                <w:color w:val="000000"/>
                <w:sz w:val="24"/>
                <w:szCs w:val="24"/>
              </w:rPr>
            </w:pPr>
            <w:r>
              <w:rPr>
                <w:rFonts w:hint="eastAsia" w:ascii="仿宋_GB2312" w:hAnsi="仿宋_GB2312" w:eastAsia="仿宋_GB2312" w:cs="仿宋_GB2312"/>
                <w:bCs/>
                <w:color w:val="000000"/>
                <w:kern w:val="0"/>
                <w:sz w:val="24"/>
                <w:szCs w:val="24"/>
                <w:lang w:bidi="ar"/>
              </w:rPr>
              <w:t>7.课程与教学</w:t>
            </w:r>
          </w:p>
        </w:tc>
        <w:tc>
          <w:tcPr>
            <w:tcW w:w="2919" w:type="dxa"/>
            <w:noWrap w:val="0"/>
            <w:vAlign w:val="top"/>
          </w:tcPr>
          <w:p>
            <w:pPr>
              <w:jc w:val="left"/>
              <w:textAlignment w:val="baseline"/>
              <w:rPr>
                <w:rFonts w:hint="eastAsia" w:ascii="仿宋_GB2312" w:hAnsi="仿宋_GB2312" w:eastAsia="仿宋_GB2312" w:cs="仿宋_GB2312"/>
                <w:bCs/>
                <w:color w:val="000000"/>
                <w:kern w:val="0"/>
                <w:sz w:val="24"/>
                <w:szCs w:val="24"/>
                <w:lang w:bidi="ar"/>
              </w:rPr>
            </w:pPr>
            <w:r>
              <w:rPr>
                <w:rFonts w:hint="eastAsia" w:ascii="仿宋_GB2312" w:hAnsi="仿宋_GB2312" w:eastAsia="仿宋_GB2312" w:cs="仿宋_GB2312"/>
                <w:bCs/>
                <w:color w:val="000000"/>
                <w:kern w:val="0"/>
                <w:sz w:val="24"/>
                <w:szCs w:val="24"/>
                <w:lang w:bidi="ar"/>
              </w:rPr>
              <w:t>具备17年金融学专业本科人才培养经验，根据《普通高等学校本科专业教学质量国家标准》金融学专业的要求，结合长三角金融人才需求情况，（1）制定了科学的本科人才培养方案。（2）授课教师具有丰富教学经验，有2 次以上完整讲授该课程或相近课程经验的教师所占比例达到了60%。高级职称教师全部担任本科生教学工作。（3）教学方式多样，综合采用讲授、研讨、案例、现场等教学方式。（4）建立起了较为完整的课程教学管理、考核和评价体系。</w:t>
            </w:r>
          </w:p>
        </w:tc>
        <w:tc>
          <w:tcPr>
            <w:tcW w:w="2712" w:type="dxa"/>
            <w:noWrap w:val="0"/>
            <w:vAlign w:val="center"/>
          </w:tcPr>
          <w:p>
            <w:pPr>
              <w:jc w:val="left"/>
              <w:textAlignment w:val="baseline"/>
              <w:rPr>
                <w:rFonts w:hint="eastAsia" w:ascii="仿宋_GB2312" w:hAnsi="仿宋_GB2312" w:eastAsia="仿宋_GB2312" w:cs="仿宋_GB2312"/>
                <w:bCs/>
                <w:color w:val="000000"/>
                <w:kern w:val="0"/>
                <w:sz w:val="24"/>
                <w:szCs w:val="24"/>
                <w:lang w:bidi="ar"/>
              </w:rPr>
            </w:pPr>
            <w:r>
              <w:rPr>
                <w:rFonts w:hint="default" w:ascii="仿宋_GB2312" w:hAnsi="仿宋_GB2312" w:eastAsia="仿宋_GB2312" w:cs="仿宋_GB2312"/>
                <w:bCs/>
                <w:color w:val="000000"/>
                <w:kern w:val="0"/>
                <w:sz w:val="24"/>
                <w:szCs w:val="24"/>
                <w:lang w:bidi="ar"/>
              </w:rPr>
              <w:t>根据《金融硕士专业学位研究生指导性培养方案》的要求，</w:t>
            </w:r>
            <w:r>
              <w:rPr>
                <w:rFonts w:hint="eastAsia" w:ascii="仿宋_GB2312" w:hAnsi="仿宋_GB2312" w:eastAsia="仿宋_GB2312" w:cs="仿宋_GB2312"/>
                <w:bCs/>
                <w:color w:val="000000"/>
                <w:kern w:val="0"/>
                <w:sz w:val="24"/>
                <w:szCs w:val="24"/>
                <w:lang w:val="en-US" w:eastAsia="zh-CN" w:bidi="ar"/>
              </w:rPr>
              <w:t>以及国家、</w:t>
            </w:r>
            <w:r>
              <w:rPr>
                <w:rFonts w:hint="default" w:ascii="仿宋_GB2312" w:hAnsi="仿宋_GB2312" w:eastAsia="仿宋_GB2312" w:cs="仿宋_GB2312"/>
                <w:bCs/>
                <w:color w:val="000000"/>
                <w:kern w:val="0"/>
                <w:sz w:val="24"/>
                <w:szCs w:val="24"/>
                <w:lang w:bidi="ar"/>
              </w:rPr>
              <w:t>长三角</w:t>
            </w:r>
            <w:r>
              <w:rPr>
                <w:rFonts w:hint="eastAsia" w:ascii="仿宋_GB2312" w:hAnsi="仿宋_GB2312" w:eastAsia="仿宋_GB2312" w:cs="仿宋_GB2312"/>
                <w:bCs/>
                <w:color w:val="000000"/>
                <w:kern w:val="0"/>
                <w:sz w:val="24"/>
                <w:szCs w:val="24"/>
                <w:lang w:val="en-US" w:eastAsia="zh-CN" w:bidi="ar"/>
              </w:rPr>
              <w:t>区域和上海</w:t>
            </w:r>
            <w:r>
              <w:rPr>
                <w:rFonts w:hint="default" w:ascii="仿宋_GB2312" w:hAnsi="仿宋_GB2312" w:eastAsia="仿宋_GB2312" w:cs="仿宋_GB2312"/>
                <w:bCs/>
                <w:color w:val="000000"/>
                <w:kern w:val="0"/>
                <w:sz w:val="24"/>
                <w:szCs w:val="24"/>
                <w:lang w:bidi="ar"/>
              </w:rPr>
              <w:t>经济发展需求，</w:t>
            </w:r>
            <w:r>
              <w:rPr>
                <w:rFonts w:hint="eastAsia" w:ascii="仿宋_GB2312" w:hAnsi="仿宋_GB2312" w:eastAsia="仿宋_GB2312" w:cs="仿宋_GB2312"/>
                <w:bCs/>
                <w:color w:val="000000"/>
                <w:kern w:val="0"/>
                <w:sz w:val="24"/>
                <w:szCs w:val="24"/>
                <w:lang w:val="en-US" w:eastAsia="zh-CN" w:bidi="ar"/>
              </w:rPr>
              <w:t>形成学科交叉、引领行业发展的课程体系与教学体系</w:t>
            </w:r>
            <w:r>
              <w:rPr>
                <w:rFonts w:hint="default" w:ascii="仿宋_GB2312" w:hAnsi="仿宋_GB2312" w:eastAsia="仿宋_GB2312" w:cs="仿宋_GB2312"/>
                <w:bCs/>
                <w:color w:val="000000"/>
                <w:kern w:val="0"/>
                <w:sz w:val="24"/>
                <w:szCs w:val="24"/>
                <w:lang w:bidi="ar"/>
              </w:rPr>
              <w:t>。核心课程配备2名具有博士学位或副高及以上职称的专任教师，</w:t>
            </w:r>
            <w:r>
              <w:rPr>
                <w:rFonts w:hint="eastAsia" w:ascii="仿宋_GB2312" w:hAnsi="仿宋_GB2312" w:eastAsia="仿宋_GB2312" w:cs="仿宋_GB2312"/>
                <w:bCs/>
                <w:color w:val="000000"/>
                <w:kern w:val="0"/>
                <w:sz w:val="24"/>
                <w:szCs w:val="24"/>
                <w:lang w:val="en-US" w:eastAsia="zh-CN" w:bidi="ar"/>
              </w:rPr>
              <w:t>90%的课程综合</w:t>
            </w:r>
            <w:r>
              <w:rPr>
                <w:rFonts w:hint="default" w:ascii="仿宋_GB2312" w:hAnsi="仿宋_GB2312" w:eastAsia="仿宋_GB2312" w:cs="仿宋_GB2312"/>
                <w:bCs/>
                <w:color w:val="000000"/>
                <w:kern w:val="0"/>
                <w:sz w:val="24"/>
                <w:szCs w:val="24"/>
                <w:lang w:bidi="ar"/>
              </w:rPr>
              <w:t>采用</w:t>
            </w:r>
            <w:r>
              <w:rPr>
                <w:rFonts w:hint="eastAsia" w:ascii="仿宋_GB2312" w:hAnsi="仿宋_GB2312" w:eastAsia="仿宋_GB2312" w:cs="仿宋_GB2312"/>
                <w:bCs/>
                <w:color w:val="000000"/>
                <w:kern w:val="0"/>
                <w:sz w:val="24"/>
                <w:szCs w:val="24"/>
                <w:lang w:val="en-US" w:eastAsia="zh-CN" w:bidi="ar"/>
              </w:rPr>
              <w:t>课程</w:t>
            </w:r>
            <w:r>
              <w:rPr>
                <w:rFonts w:hint="default" w:ascii="仿宋_GB2312" w:hAnsi="仿宋_GB2312" w:eastAsia="仿宋_GB2312" w:cs="仿宋_GB2312"/>
                <w:bCs/>
                <w:color w:val="000000"/>
                <w:kern w:val="0"/>
                <w:sz w:val="24"/>
                <w:szCs w:val="24"/>
                <w:lang w:bidi="ar"/>
              </w:rPr>
              <w:t>研讨、案例</w:t>
            </w:r>
            <w:r>
              <w:rPr>
                <w:rFonts w:hint="eastAsia" w:ascii="仿宋_GB2312" w:hAnsi="仿宋_GB2312" w:eastAsia="仿宋_GB2312" w:cs="仿宋_GB2312"/>
                <w:bCs/>
                <w:color w:val="000000"/>
                <w:kern w:val="0"/>
                <w:sz w:val="24"/>
                <w:szCs w:val="24"/>
                <w:lang w:val="en-US" w:eastAsia="zh-CN" w:bidi="ar"/>
              </w:rPr>
              <w:t>讨论</w:t>
            </w:r>
            <w:r>
              <w:rPr>
                <w:rFonts w:hint="default" w:ascii="仿宋_GB2312" w:hAnsi="仿宋_GB2312" w:eastAsia="仿宋_GB2312" w:cs="仿宋_GB2312"/>
                <w:bCs/>
                <w:color w:val="000000"/>
                <w:kern w:val="0"/>
                <w:sz w:val="24"/>
                <w:szCs w:val="24"/>
                <w:lang w:bidi="ar"/>
              </w:rPr>
              <w:t>、现场</w:t>
            </w:r>
            <w:r>
              <w:rPr>
                <w:rFonts w:hint="eastAsia" w:ascii="仿宋_GB2312" w:hAnsi="仿宋_GB2312" w:eastAsia="仿宋_GB2312" w:cs="仿宋_GB2312"/>
                <w:bCs/>
                <w:color w:val="000000"/>
                <w:kern w:val="0"/>
                <w:sz w:val="24"/>
                <w:szCs w:val="24"/>
                <w:lang w:val="en-US" w:eastAsia="zh-CN" w:bidi="ar"/>
              </w:rPr>
              <w:t>观摩、实验实训</w:t>
            </w:r>
            <w:r>
              <w:rPr>
                <w:rFonts w:hint="default" w:ascii="仿宋_GB2312" w:hAnsi="仿宋_GB2312" w:eastAsia="仿宋_GB2312" w:cs="仿宋_GB2312"/>
                <w:bCs/>
                <w:color w:val="000000"/>
                <w:kern w:val="0"/>
                <w:sz w:val="24"/>
                <w:szCs w:val="24"/>
                <w:lang w:bidi="ar"/>
              </w:rPr>
              <w:t>等</w:t>
            </w:r>
            <w:r>
              <w:rPr>
                <w:rFonts w:hint="eastAsia" w:ascii="仿宋_GB2312" w:hAnsi="仿宋_GB2312" w:eastAsia="仿宋_GB2312" w:cs="仿宋_GB2312"/>
                <w:bCs/>
                <w:color w:val="000000"/>
                <w:kern w:val="0"/>
                <w:sz w:val="24"/>
                <w:szCs w:val="24"/>
                <w:lang w:val="en-US" w:eastAsia="zh-CN" w:bidi="ar"/>
              </w:rPr>
              <w:t>多元</w:t>
            </w:r>
            <w:r>
              <w:rPr>
                <w:rFonts w:hint="default" w:ascii="仿宋_GB2312" w:hAnsi="仿宋_GB2312" w:eastAsia="仿宋_GB2312" w:cs="仿宋_GB2312"/>
                <w:bCs/>
                <w:color w:val="000000"/>
                <w:kern w:val="0"/>
                <w:sz w:val="24"/>
                <w:szCs w:val="24"/>
                <w:lang w:bidi="ar"/>
              </w:rPr>
              <w:t>教学方式。形成完整的课程教学管理、考核和评价体系。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9" w:hRule="atLeast"/>
        </w:trPr>
        <w:tc>
          <w:tcPr>
            <w:tcW w:w="1124" w:type="dxa"/>
            <w:vMerge w:val="continue"/>
            <w:noWrap w:val="0"/>
            <w:vAlign w:val="center"/>
          </w:tcPr>
          <w:p>
            <w:pPr>
              <w:jc w:val="left"/>
              <w:rPr>
                <w:rFonts w:hint="eastAsia" w:ascii="仿宋_GB2312" w:hAnsi="仿宋_GB2312" w:eastAsia="仿宋_GB2312" w:cs="仿宋_GB2312"/>
                <w:bCs/>
                <w:color w:val="000000"/>
                <w:sz w:val="24"/>
                <w:szCs w:val="24"/>
              </w:rPr>
            </w:pPr>
          </w:p>
        </w:tc>
        <w:tc>
          <w:tcPr>
            <w:tcW w:w="1855" w:type="dxa"/>
            <w:noWrap w:val="0"/>
            <w:vAlign w:val="center"/>
          </w:tcPr>
          <w:p>
            <w:pPr>
              <w:widowControl/>
              <w:jc w:val="left"/>
              <w:textAlignment w:val="center"/>
              <w:rPr>
                <w:rFonts w:hint="eastAsia" w:ascii="仿宋_GB2312" w:hAnsi="仿宋_GB2312" w:eastAsia="仿宋_GB2312" w:cs="仿宋_GB2312"/>
                <w:bCs/>
                <w:color w:val="000000"/>
                <w:sz w:val="24"/>
                <w:szCs w:val="24"/>
              </w:rPr>
            </w:pPr>
            <w:r>
              <w:rPr>
                <w:rFonts w:hint="eastAsia" w:ascii="仿宋_GB2312" w:hAnsi="仿宋_GB2312" w:eastAsia="仿宋_GB2312" w:cs="仿宋_GB2312"/>
                <w:bCs/>
                <w:color w:val="000000"/>
                <w:kern w:val="0"/>
                <w:sz w:val="24"/>
                <w:szCs w:val="24"/>
                <w:lang w:bidi="ar"/>
              </w:rPr>
              <w:t>8.培养质量</w:t>
            </w:r>
          </w:p>
        </w:tc>
        <w:tc>
          <w:tcPr>
            <w:tcW w:w="2919" w:type="dxa"/>
            <w:noWrap w:val="0"/>
            <w:vAlign w:val="center"/>
          </w:tcPr>
          <w:p>
            <w:pPr>
              <w:jc w:val="left"/>
              <w:textAlignment w:val="baseline"/>
              <w:rPr>
                <w:rFonts w:hint="eastAsia" w:ascii="仿宋_GB2312" w:hAnsi="仿宋_GB2312" w:eastAsia="仿宋_GB2312" w:cs="仿宋_GB2312"/>
                <w:bCs/>
                <w:color w:val="000000"/>
                <w:kern w:val="0"/>
                <w:sz w:val="24"/>
                <w:szCs w:val="24"/>
                <w:lang w:bidi="ar"/>
              </w:rPr>
            </w:pPr>
            <w:r>
              <w:rPr>
                <w:rFonts w:hint="eastAsia" w:ascii="仿宋_GB2312" w:hAnsi="仿宋_GB2312" w:eastAsia="仿宋_GB2312" w:cs="仿宋_GB2312"/>
                <w:bCs/>
                <w:color w:val="000000"/>
                <w:kern w:val="0"/>
                <w:sz w:val="24"/>
                <w:szCs w:val="24"/>
                <w:lang w:bidi="ar"/>
              </w:rPr>
              <w:t>近 5 年，金融学专业的本科生平均就业率93.4%，根据毕业生就业质量报告，主要用人单位的毕业生跟踪调查数据显示，近八成用人单位明确表示对上外贤达学院毕业生的道德品行、职业素养、工作态度、外语水平等方面的表现比较满意，尤其对学生的外语应用能力普遍肯。</w:t>
            </w:r>
          </w:p>
        </w:tc>
        <w:tc>
          <w:tcPr>
            <w:tcW w:w="2712" w:type="dxa"/>
            <w:noWrap w:val="0"/>
            <w:vAlign w:val="top"/>
          </w:tcPr>
          <w:p>
            <w:pPr>
              <w:jc w:val="left"/>
              <w:textAlignment w:val="baseline"/>
              <w:rPr>
                <w:rFonts w:hint="eastAsia" w:ascii="仿宋_GB2312" w:hAnsi="仿宋_GB2312" w:eastAsia="仿宋_GB2312" w:cs="仿宋_GB2312"/>
                <w:bCs/>
                <w:color w:val="000000"/>
                <w:kern w:val="0"/>
                <w:sz w:val="24"/>
                <w:szCs w:val="24"/>
                <w:lang w:bidi="ar"/>
              </w:rPr>
            </w:pPr>
            <w:r>
              <w:rPr>
                <w:rFonts w:hint="eastAsia" w:ascii="仿宋_GB2312" w:hAnsi="仿宋_GB2312" w:eastAsia="仿宋_GB2312" w:cs="仿宋_GB2312"/>
                <w:bCs/>
                <w:color w:val="000000"/>
                <w:kern w:val="0"/>
                <w:sz w:val="24"/>
                <w:szCs w:val="24"/>
                <w:lang w:val="en-US" w:eastAsia="zh-CN" w:bidi="ar"/>
              </w:rPr>
              <w:t>在第三方评价体系中，</w:t>
            </w:r>
            <w:r>
              <w:rPr>
                <w:rFonts w:hint="default" w:ascii="仿宋_GB2312" w:hAnsi="仿宋_GB2312" w:eastAsia="仿宋_GB2312" w:cs="仿宋_GB2312"/>
                <w:bCs/>
                <w:color w:val="000000"/>
                <w:kern w:val="0"/>
                <w:sz w:val="24"/>
                <w:szCs w:val="24"/>
                <w:lang w:bidi="ar"/>
              </w:rPr>
              <w:t>毕业生继续深造比例</w:t>
            </w:r>
            <w:r>
              <w:rPr>
                <w:rFonts w:hint="eastAsia" w:ascii="仿宋_GB2312" w:hAnsi="仿宋_GB2312" w:eastAsia="仿宋_GB2312" w:cs="仿宋_GB2312"/>
                <w:bCs/>
                <w:color w:val="000000"/>
                <w:kern w:val="0"/>
                <w:sz w:val="24"/>
                <w:szCs w:val="24"/>
                <w:lang w:val="en-US" w:eastAsia="zh-CN" w:bidi="ar"/>
              </w:rPr>
              <w:t>得到不断提升</w:t>
            </w:r>
            <w:r>
              <w:rPr>
                <w:rFonts w:hint="default" w:ascii="仿宋_GB2312" w:hAnsi="仿宋_GB2312" w:eastAsia="仿宋_GB2312" w:cs="仿宋_GB2312"/>
                <w:bCs/>
                <w:color w:val="000000"/>
                <w:kern w:val="0"/>
                <w:sz w:val="24"/>
                <w:szCs w:val="24"/>
                <w:lang w:bidi="ar"/>
              </w:rPr>
              <w:t>，</w:t>
            </w:r>
            <w:r>
              <w:rPr>
                <w:rFonts w:hint="eastAsia" w:ascii="仿宋_GB2312" w:hAnsi="仿宋_GB2312" w:eastAsia="仿宋_GB2312" w:cs="仿宋_GB2312"/>
                <w:bCs/>
                <w:color w:val="000000"/>
                <w:kern w:val="0"/>
                <w:sz w:val="24"/>
                <w:szCs w:val="24"/>
                <w:lang w:val="en-US" w:eastAsia="zh-CN" w:bidi="ar"/>
              </w:rPr>
              <w:t>就业率达到95%，</w:t>
            </w:r>
            <w:r>
              <w:rPr>
                <w:rFonts w:hint="default" w:ascii="仿宋_GB2312" w:hAnsi="仿宋_GB2312" w:eastAsia="仿宋_GB2312" w:cs="仿宋_GB2312"/>
                <w:bCs/>
                <w:color w:val="000000"/>
                <w:kern w:val="0"/>
                <w:sz w:val="24"/>
                <w:szCs w:val="24"/>
                <w:lang w:bidi="ar"/>
              </w:rPr>
              <w:t>毕业生</w:t>
            </w:r>
            <w:r>
              <w:rPr>
                <w:rFonts w:hint="eastAsia" w:ascii="仿宋_GB2312" w:hAnsi="仿宋_GB2312" w:eastAsia="仿宋_GB2312" w:cs="仿宋_GB2312"/>
                <w:bCs/>
                <w:color w:val="000000"/>
                <w:kern w:val="0"/>
                <w:sz w:val="24"/>
                <w:szCs w:val="24"/>
                <w:lang w:val="en-US" w:eastAsia="zh-CN" w:bidi="ar"/>
              </w:rPr>
              <w:t>得到</w:t>
            </w:r>
            <w:r>
              <w:rPr>
                <w:rFonts w:hint="default" w:ascii="仿宋_GB2312" w:hAnsi="仿宋_GB2312" w:eastAsia="仿宋_GB2312" w:cs="仿宋_GB2312"/>
                <w:bCs/>
                <w:color w:val="000000"/>
                <w:kern w:val="0"/>
                <w:sz w:val="24"/>
                <w:szCs w:val="24"/>
                <w:lang w:bidi="ar"/>
              </w:rPr>
              <w:t>金融</w:t>
            </w:r>
            <w:r>
              <w:rPr>
                <w:rFonts w:hint="eastAsia" w:ascii="仿宋_GB2312" w:hAnsi="仿宋_GB2312" w:eastAsia="仿宋_GB2312" w:cs="仿宋_GB2312"/>
                <w:bCs/>
                <w:color w:val="000000"/>
                <w:kern w:val="0"/>
                <w:sz w:val="24"/>
                <w:szCs w:val="24"/>
                <w:lang w:val="en-US" w:eastAsia="zh-CN" w:bidi="ar"/>
              </w:rPr>
              <w:t>等</w:t>
            </w:r>
            <w:r>
              <w:rPr>
                <w:rFonts w:hint="default" w:ascii="仿宋_GB2312" w:hAnsi="仿宋_GB2312" w:eastAsia="仿宋_GB2312" w:cs="仿宋_GB2312"/>
                <w:bCs/>
                <w:color w:val="000000"/>
                <w:kern w:val="0"/>
                <w:sz w:val="24"/>
                <w:szCs w:val="24"/>
                <w:lang w:bidi="ar"/>
              </w:rPr>
              <w:t>相关行业</w:t>
            </w:r>
            <w:r>
              <w:rPr>
                <w:rFonts w:hint="eastAsia" w:ascii="仿宋_GB2312" w:hAnsi="仿宋_GB2312" w:eastAsia="仿宋_GB2312" w:cs="仿宋_GB2312"/>
                <w:bCs/>
                <w:color w:val="000000"/>
                <w:kern w:val="0"/>
                <w:sz w:val="24"/>
                <w:szCs w:val="24"/>
                <w:lang w:val="en-US" w:eastAsia="zh-CN" w:bidi="ar"/>
              </w:rPr>
              <w:t>的高度认可度，薪资保持中等偏上水平，职业发展空间较大</w:t>
            </w:r>
            <w:r>
              <w:rPr>
                <w:rFonts w:hint="default" w:ascii="仿宋_GB2312" w:hAnsi="仿宋_GB2312" w:eastAsia="仿宋_GB2312" w:cs="仿宋_GB2312"/>
                <w:bCs/>
                <w:color w:val="000000"/>
                <w:kern w:val="0"/>
                <w:sz w:val="24"/>
                <w:szCs w:val="24"/>
                <w:lang w:bidi="ar"/>
              </w:rPr>
              <w:t>。</w:t>
            </w:r>
            <w:r>
              <w:rPr>
                <w:rFonts w:hint="eastAsia" w:ascii="仿宋_GB2312" w:hAnsi="仿宋_GB2312" w:eastAsia="仿宋_GB2312" w:cs="仿宋_GB2312"/>
                <w:bCs/>
                <w:color w:val="000000"/>
                <w:kern w:val="0"/>
                <w:sz w:val="24"/>
                <w:szCs w:val="24"/>
                <w:lang w:val="en-US" w:eastAsia="zh-CN" w:bidi="ar"/>
              </w:rPr>
              <w:t>金融专业人才培养的贤达案例与经验，争取获得上海市教学成果奖。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9" w:hRule="atLeast"/>
        </w:trPr>
        <w:tc>
          <w:tcPr>
            <w:tcW w:w="1124" w:type="dxa"/>
            <w:vMerge w:val="restart"/>
            <w:noWrap w:val="0"/>
            <w:vAlign w:val="center"/>
          </w:tcPr>
          <w:p>
            <w:pPr>
              <w:widowControl/>
              <w:jc w:val="left"/>
              <w:textAlignment w:val="center"/>
              <w:rPr>
                <w:rFonts w:hint="eastAsia" w:ascii="仿宋_GB2312" w:hAnsi="仿宋_GB2312" w:eastAsia="仿宋_GB2312" w:cs="仿宋_GB2312"/>
                <w:bCs/>
                <w:color w:val="000000"/>
                <w:sz w:val="24"/>
                <w:szCs w:val="24"/>
              </w:rPr>
            </w:pPr>
            <w:r>
              <w:rPr>
                <w:rFonts w:hint="eastAsia" w:ascii="仿宋_GB2312" w:hAnsi="仿宋_GB2312" w:eastAsia="仿宋_GB2312" w:cs="仿宋_GB2312"/>
                <w:bCs/>
                <w:color w:val="000000"/>
                <w:kern w:val="0"/>
                <w:sz w:val="24"/>
                <w:szCs w:val="24"/>
                <w:lang w:bidi="ar"/>
              </w:rPr>
              <w:t>四、培养环境与条件</w:t>
            </w:r>
          </w:p>
        </w:tc>
        <w:tc>
          <w:tcPr>
            <w:tcW w:w="1855" w:type="dxa"/>
            <w:noWrap w:val="0"/>
            <w:vAlign w:val="center"/>
          </w:tcPr>
          <w:p>
            <w:pPr>
              <w:widowControl/>
              <w:jc w:val="left"/>
              <w:textAlignment w:val="center"/>
              <w:rPr>
                <w:rFonts w:hint="eastAsia" w:ascii="仿宋_GB2312" w:hAnsi="仿宋_GB2312" w:eastAsia="仿宋_GB2312" w:cs="仿宋_GB2312"/>
                <w:bCs/>
                <w:color w:val="000000"/>
                <w:sz w:val="24"/>
                <w:szCs w:val="24"/>
              </w:rPr>
            </w:pPr>
            <w:r>
              <w:rPr>
                <w:rFonts w:hint="eastAsia" w:ascii="仿宋_GB2312" w:hAnsi="仿宋_GB2312" w:eastAsia="仿宋_GB2312" w:cs="仿宋_GB2312"/>
                <w:bCs/>
                <w:color w:val="000000"/>
                <w:kern w:val="0"/>
                <w:sz w:val="24"/>
                <w:szCs w:val="24"/>
                <w:lang w:bidi="ar"/>
              </w:rPr>
              <w:t>9.科学研究</w:t>
            </w:r>
          </w:p>
        </w:tc>
        <w:tc>
          <w:tcPr>
            <w:tcW w:w="2919" w:type="dxa"/>
            <w:noWrap w:val="0"/>
            <w:vAlign w:val="center"/>
          </w:tcPr>
          <w:p>
            <w:pPr>
              <w:jc w:val="left"/>
              <w:textAlignment w:val="baseline"/>
              <w:rPr>
                <w:rFonts w:hint="eastAsia" w:ascii="仿宋_GB2312" w:hAnsi="仿宋_GB2312" w:eastAsia="仿宋_GB2312" w:cs="仿宋_GB2312"/>
                <w:bCs/>
                <w:color w:val="000000"/>
                <w:kern w:val="0"/>
                <w:sz w:val="24"/>
                <w:szCs w:val="24"/>
                <w:lang w:bidi="ar"/>
              </w:rPr>
            </w:pPr>
            <w:r>
              <w:rPr>
                <w:rFonts w:hint="eastAsia" w:ascii="仿宋_GB2312" w:hAnsi="仿宋_GB2312" w:eastAsia="仿宋_GB2312" w:cs="仿宋_GB2312"/>
                <w:bCs/>
                <w:color w:val="000000"/>
                <w:kern w:val="0"/>
                <w:sz w:val="24"/>
                <w:szCs w:val="24"/>
                <w:lang w:bidi="ar"/>
              </w:rPr>
              <w:t>近</w:t>
            </w:r>
            <w:r>
              <w:rPr>
                <w:rFonts w:hint="eastAsia" w:ascii="仿宋_GB2312" w:hAnsi="仿宋_GB2312" w:eastAsia="仿宋_GB2312" w:cs="仿宋_GB2312"/>
                <w:bCs/>
                <w:color w:val="000000"/>
                <w:kern w:val="0"/>
                <w:sz w:val="24"/>
                <w:szCs w:val="24"/>
                <w:lang w:val="en-US" w:eastAsia="zh-CN" w:bidi="ar"/>
              </w:rPr>
              <w:t>5</w:t>
            </w:r>
            <w:r>
              <w:rPr>
                <w:rFonts w:hint="eastAsia" w:ascii="仿宋_GB2312" w:hAnsi="仿宋_GB2312" w:eastAsia="仿宋_GB2312" w:cs="仿宋_GB2312"/>
                <w:bCs/>
                <w:color w:val="000000"/>
                <w:kern w:val="0"/>
                <w:sz w:val="24"/>
                <w:szCs w:val="24"/>
                <w:lang w:bidi="ar"/>
              </w:rPr>
              <w:t>年，有1项省部级及以上在研项目，1项市级科研获奖项目，10项以上包括咨询报告、案例等在内的应用性科研成果。</w:t>
            </w:r>
          </w:p>
          <w:p>
            <w:pPr>
              <w:jc w:val="left"/>
              <w:textAlignment w:val="baseline"/>
              <w:rPr>
                <w:rFonts w:hint="eastAsia" w:ascii="仿宋_GB2312" w:hAnsi="仿宋_GB2312" w:eastAsia="仿宋_GB2312" w:cs="仿宋_GB2312"/>
                <w:bCs/>
                <w:color w:val="000000"/>
                <w:kern w:val="0"/>
                <w:sz w:val="24"/>
                <w:szCs w:val="24"/>
                <w:lang w:bidi="ar"/>
              </w:rPr>
            </w:pPr>
            <w:r>
              <w:rPr>
                <w:rFonts w:hint="eastAsia" w:ascii="仿宋_GB2312" w:hAnsi="仿宋_GB2312" w:eastAsia="仿宋_GB2312" w:cs="仿宋_GB2312"/>
                <w:bCs/>
                <w:color w:val="000000"/>
                <w:kern w:val="0"/>
                <w:sz w:val="24"/>
                <w:szCs w:val="24"/>
                <w:lang w:bidi="ar"/>
              </w:rPr>
              <w:t>近5年，专职专任教师主持国家级科研项目1项，省、市级各类教科研项目11项。获得省、市级以上科研奖励有1项；每年人均纵向科研经费1.1万元。</w:t>
            </w:r>
          </w:p>
          <w:p>
            <w:pPr>
              <w:jc w:val="left"/>
              <w:textAlignment w:val="baseline"/>
              <w:rPr>
                <w:rFonts w:hint="eastAsia" w:ascii="仿宋_GB2312" w:hAnsi="仿宋_GB2312" w:eastAsia="仿宋_GB2312" w:cs="仿宋_GB2312"/>
                <w:bCs/>
                <w:color w:val="000000"/>
                <w:kern w:val="0"/>
                <w:sz w:val="24"/>
                <w:szCs w:val="24"/>
                <w:lang w:bidi="ar"/>
              </w:rPr>
            </w:pPr>
          </w:p>
          <w:p>
            <w:pPr>
              <w:jc w:val="left"/>
              <w:textAlignment w:val="baseline"/>
              <w:rPr>
                <w:rFonts w:hint="eastAsia" w:ascii="仿宋_GB2312" w:hAnsi="仿宋_GB2312" w:eastAsia="仿宋_GB2312" w:cs="仿宋_GB2312"/>
                <w:bCs/>
                <w:color w:val="000000"/>
                <w:kern w:val="0"/>
                <w:sz w:val="24"/>
                <w:szCs w:val="24"/>
                <w:lang w:bidi="ar"/>
              </w:rPr>
            </w:pPr>
          </w:p>
          <w:p>
            <w:pPr>
              <w:jc w:val="left"/>
              <w:textAlignment w:val="baseline"/>
              <w:rPr>
                <w:rFonts w:hint="eastAsia" w:ascii="仿宋_GB2312" w:hAnsi="仿宋_GB2312" w:eastAsia="仿宋_GB2312" w:cs="仿宋_GB2312"/>
                <w:bCs/>
                <w:color w:val="000000"/>
                <w:kern w:val="0"/>
                <w:sz w:val="24"/>
                <w:szCs w:val="24"/>
                <w:lang w:bidi="ar"/>
              </w:rPr>
            </w:pPr>
          </w:p>
          <w:p>
            <w:pPr>
              <w:jc w:val="left"/>
              <w:textAlignment w:val="baseline"/>
              <w:rPr>
                <w:rFonts w:hint="eastAsia" w:ascii="仿宋_GB2312" w:hAnsi="仿宋_GB2312" w:eastAsia="仿宋_GB2312" w:cs="仿宋_GB2312"/>
                <w:bCs/>
                <w:color w:val="000000"/>
                <w:kern w:val="0"/>
                <w:sz w:val="24"/>
                <w:szCs w:val="24"/>
                <w:lang w:bidi="ar"/>
              </w:rPr>
            </w:pPr>
          </w:p>
          <w:p>
            <w:pPr>
              <w:jc w:val="left"/>
              <w:textAlignment w:val="baseline"/>
              <w:rPr>
                <w:rFonts w:hint="eastAsia" w:ascii="仿宋_GB2312" w:hAnsi="仿宋_GB2312" w:eastAsia="仿宋_GB2312" w:cs="仿宋_GB2312"/>
                <w:bCs/>
                <w:color w:val="000000"/>
                <w:kern w:val="0"/>
                <w:sz w:val="24"/>
                <w:szCs w:val="24"/>
                <w:lang w:bidi="ar"/>
              </w:rPr>
            </w:pPr>
          </w:p>
        </w:tc>
        <w:tc>
          <w:tcPr>
            <w:tcW w:w="2712" w:type="dxa"/>
            <w:noWrap w:val="0"/>
            <w:vAlign w:val="center"/>
          </w:tcPr>
          <w:p>
            <w:pPr>
              <w:jc w:val="left"/>
              <w:textAlignment w:val="baseline"/>
              <w:rPr>
                <w:rFonts w:hint="eastAsia" w:ascii="仿宋_GB2312" w:hAnsi="仿宋_GB2312" w:eastAsia="仿宋_GB2312" w:cs="仿宋_GB2312"/>
                <w:bCs/>
                <w:color w:val="000000"/>
                <w:kern w:val="0"/>
                <w:sz w:val="24"/>
                <w:szCs w:val="24"/>
                <w:lang w:bidi="ar"/>
              </w:rPr>
            </w:pPr>
            <w:r>
              <w:rPr>
                <w:rFonts w:hint="default" w:ascii="仿宋_GB2312" w:hAnsi="仿宋_GB2312" w:eastAsia="仿宋_GB2312" w:cs="仿宋_GB2312"/>
                <w:bCs/>
                <w:color w:val="000000"/>
                <w:kern w:val="0"/>
                <w:sz w:val="24"/>
                <w:szCs w:val="24"/>
                <w:lang w:val="en-US" w:eastAsia="zh-CN" w:bidi="ar"/>
              </w:rPr>
              <w:t>学科科研经费保持较快增长速度，师均年科研经费</w:t>
            </w:r>
            <w:r>
              <w:rPr>
                <w:rFonts w:hint="eastAsia" w:ascii="仿宋_GB2312" w:hAnsi="仿宋_GB2312" w:eastAsia="仿宋_GB2312" w:cs="仿宋_GB2312"/>
                <w:bCs/>
                <w:color w:val="000000"/>
                <w:kern w:val="0"/>
                <w:sz w:val="24"/>
                <w:szCs w:val="24"/>
                <w:lang w:val="en-US" w:eastAsia="zh-CN" w:bidi="ar"/>
              </w:rPr>
              <w:t>争取</w:t>
            </w:r>
            <w:r>
              <w:rPr>
                <w:rFonts w:hint="default" w:ascii="仿宋_GB2312" w:hAnsi="仿宋_GB2312" w:eastAsia="仿宋_GB2312" w:cs="仿宋_GB2312"/>
                <w:bCs/>
                <w:color w:val="000000"/>
                <w:kern w:val="0"/>
                <w:sz w:val="24"/>
                <w:szCs w:val="24"/>
                <w:lang w:val="en-US" w:eastAsia="zh-CN" w:bidi="ar"/>
              </w:rPr>
              <w:t>达到</w:t>
            </w:r>
            <w:r>
              <w:rPr>
                <w:rFonts w:hint="eastAsia" w:ascii="仿宋_GB2312" w:hAnsi="仿宋_GB2312" w:eastAsia="仿宋_GB2312" w:cs="仿宋_GB2312"/>
                <w:bCs/>
                <w:color w:val="000000"/>
                <w:kern w:val="0"/>
                <w:sz w:val="24"/>
                <w:szCs w:val="24"/>
                <w:lang w:val="en-US" w:eastAsia="zh-CN" w:bidi="ar"/>
              </w:rPr>
              <w:t>3.5</w:t>
            </w:r>
            <w:r>
              <w:rPr>
                <w:rFonts w:hint="default" w:ascii="仿宋_GB2312" w:hAnsi="仿宋_GB2312" w:eastAsia="仿宋_GB2312" w:cs="仿宋_GB2312"/>
                <w:bCs/>
                <w:color w:val="000000"/>
                <w:kern w:val="0"/>
                <w:sz w:val="24"/>
                <w:szCs w:val="24"/>
                <w:lang w:val="en-US" w:eastAsia="zh-CN" w:bidi="ar"/>
              </w:rPr>
              <w:t>万元。代表性</w:t>
            </w:r>
            <w:r>
              <w:rPr>
                <w:rFonts w:hint="eastAsia" w:ascii="仿宋_GB2312" w:hAnsi="仿宋_GB2312" w:eastAsia="仿宋_GB2312" w:cs="仿宋_GB2312"/>
                <w:bCs/>
                <w:color w:val="000000"/>
                <w:kern w:val="0"/>
                <w:sz w:val="24"/>
                <w:szCs w:val="24"/>
                <w:lang w:val="en-US" w:eastAsia="zh-CN" w:bidi="ar"/>
              </w:rPr>
              <w:t>学术</w:t>
            </w:r>
            <w:r>
              <w:rPr>
                <w:rFonts w:hint="default" w:ascii="仿宋_GB2312" w:hAnsi="仿宋_GB2312" w:eastAsia="仿宋_GB2312" w:cs="仿宋_GB2312"/>
                <w:bCs/>
                <w:color w:val="000000"/>
                <w:kern w:val="0"/>
                <w:sz w:val="24"/>
                <w:szCs w:val="24"/>
                <w:lang w:val="en-US" w:eastAsia="zh-CN" w:bidi="ar"/>
              </w:rPr>
              <w:t>论文10-15篇，学术专著</w:t>
            </w:r>
            <w:r>
              <w:rPr>
                <w:rFonts w:hint="eastAsia" w:ascii="仿宋_GB2312" w:hAnsi="仿宋_GB2312" w:eastAsia="仿宋_GB2312" w:cs="仿宋_GB2312"/>
                <w:bCs/>
                <w:color w:val="000000"/>
                <w:kern w:val="0"/>
                <w:sz w:val="24"/>
                <w:szCs w:val="24"/>
                <w:lang w:val="en-US" w:eastAsia="zh-CN" w:bidi="ar"/>
              </w:rPr>
              <w:t>（教材）</w:t>
            </w:r>
            <w:r>
              <w:rPr>
                <w:rFonts w:hint="default" w:ascii="仿宋_GB2312" w:hAnsi="仿宋_GB2312" w:eastAsia="仿宋_GB2312" w:cs="仿宋_GB2312"/>
                <w:bCs/>
                <w:color w:val="000000"/>
                <w:kern w:val="0"/>
                <w:sz w:val="24"/>
                <w:szCs w:val="24"/>
                <w:lang w:val="en-US" w:eastAsia="zh-CN" w:bidi="ar"/>
              </w:rPr>
              <w:t>1-2部</w:t>
            </w:r>
            <w:r>
              <w:rPr>
                <w:rFonts w:hint="default" w:ascii="仿宋_GB2312" w:hAnsi="仿宋_GB2312" w:eastAsia="仿宋_GB2312" w:cs="仿宋_GB2312"/>
                <w:bCs/>
                <w:color w:val="000000"/>
                <w:kern w:val="0"/>
                <w:sz w:val="24"/>
                <w:szCs w:val="24"/>
                <w:lang w:bidi="ar"/>
              </w:rPr>
              <w:t>；</w:t>
            </w:r>
            <w:r>
              <w:rPr>
                <w:rFonts w:hint="default" w:ascii="仿宋_GB2312" w:hAnsi="仿宋_GB2312" w:eastAsia="仿宋_GB2312" w:cs="仿宋_GB2312"/>
                <w:bCs/>
                <w:color w:val="000000"/>
                <w:kern w:val="0"/>
                <w:sz w:val="24"/>
                <w:szCs w:val="24"/>
                <w:lang w:val="en-US" w:eastAsia="zh-CN" w:bidi="ar"/>
              </w:rPr>
              <w:t>重要科研项目（纵向与横向）8-10项</w:t>
            </w:r>
            <w:r>
              <w:rPr>
                <w:rFonts w:hint="default" w:ascii="仿宋_GB2312" w:hAnsi="仿宋_GB2312" w:eastAsia="仿宋_GB2312" w:cs="仿宋_GB2312"/>
                <w:bCs/>
                <w:color w:val="000000"/>
                <w:kern w:val="0"/>
                <w:sz w:val="24"/>
                <w:szCs w:val="24"/>
                <w:lang w:bidi="ar"/>
              </w:rPr>
              <w:t>；</w:t>
            </w:r>
            <w:r>
              <w:rPr>
                <w:rFonts w:hint="eastAsia" w:ascii="仿宋_GB2312" w:hAnsi="仿宋_GB2312" w:eastAsia="仿宋_GB2312" w:cs="仿宋_GB2312"/>
                <w:bCs/>
                <w:color w:val="000000"/>
                <w:kern w:val="0"/>
                <w:sz w:val="24"/>
                <w:szCs w:val="24"/>
                <w:lang w:val="en-US" w:eastAsia="zh-CN" w:bidi="ar"/>
              </w:rPr>
              <w:t>具有影响力的</w:t>
            </w:r>
            <w:r>
              <w:rPr>
                <w:rFonts w:hint="default" w:ascii="仿宋_GB2312" w:hAnsi="仿宋_GB2312" w:eastAsia="仿宋_GB2312" w:cs="仿宋_GB2312"/>
                <w:bCs/>
                <w:color w:val="000000"/>
                <w:kern w:val="0"/>
                <w:sz w:val="24"/>
                <w:szCs w:val="24"/>
                <w:lang w:bidi="ar"/>
              </w:rPr>
              <w:t>咨询报告、</w:t>
            </w:r>
            <w:r>
              <w:rPr>
                <w:rFonts w:hint="eastAsia" w:ascii="仿宋_GB2312" w:hAnsi="仿宋_GB2312" w:eastAsia="仿宋_GB2312" w:cs="仿宋_GB2312"/>
                <w:bCs/>
                <w:color w:val="000000"/>
                <w:kern w:val="0"/>
                <w:sz w:val="24"/>
                <w:szCs w:val="24"/>
                <w:lang w:val="en-US" w:eastAsia="zh-CN" w:bidi="ar"/>
              </w:rPr>
              <w:t>专利、</w:t>
            </w:r>
            <w:r>
              <w:rPr>
                <w:rFonts w:hint="default" w:ascii="仿宋_GB2312" w:hAnsi="仿宋_GB2312" w:eastAsia="仿宋_GB2312" w:cs="仿宋_GB2312"/>
                <w:bCs/>
                <w:color w:val="000000"/>
                <w:kern w:val="0"/>
                <w:sz w:val="24"/>
                <w:szCs w:val="24"/>
                <w:lang w:bidi="ar"/>
              </w:rPr>
              <w:t>案例</w:t>
            </w:r>
            <w:r>
              <w:rPr>
                <w:rFonts w:hint="eastAsia" w:ascii="仿宋_GB2312" w:hAnsi="仿宋_GB2312" w:eastAsia="仿宋_GB2312" w:cs="仿宋_GB2312"/>
                <w:bCs/>
                <w:color w:val="000000"/>
                <w:kern w:val="0"/>
                <w:sz w:val="24"/>
                <w:szCs w:val="24"/>
                <w:lang w:val="en-US" w:eastAsia="zh-CN" w:bidi="ar"/>
              </w:rPr>
              <w:t>研发</w:t>
            </w:r>
            <w:r>
              <w:rPr>
                <w:rFonts w:hint="default" w:ascii="仿宋_GB2312" w:hAnsi="仿宋_GB2312" w:eastAsia="仿宋_GB2312" w:cs="仿宋_GB2312"/>
                <w:bCs/>
                <w:color w:val="000000"/>
                <w:kern w:val="0"/>
                <w:sz w:val="24"/>
                <w:szCs w:val="24"/>
                <w:lang w:bidi="ar"/>
              </w:rPr>
              <w:t>等在内的应用成果</w:t>
            </w:r>
            <w:r>
              <w:rPr>
                <w:rFonts w:hint="eastAsia" w:ascii="仿宋_GB2312" w:hAnsi="仿宋_GB2312" w:eastAsia="仿宋_GB2312" w:cs="仿宋_GB2312"/>
                <w:bCs/>
                <w:color w:val="000000"/>
                <w:kern w:val="0"/>
                <w:sz w:val="24"/>
                <w:szCs w:val="24"/>
                <w:lang w:val="en-US" w:eastAsia="zh-CN" w:bidi="ar"/>
              </w:rPr>
              <w:t>达到20项（</w:t>
            </w:r>
            <w:r>
              <w:rPr>
                <w:rFonts w:hint="default" w:ascii="仿宋_GB2312" w:hAnsi="仿宋_GB2312" w:eastAsia="仿宋_GB2312" w:cs="仿宋_GB2312"/>
                <w:bCs/>
                <w:color w:val="000000"/>
                <w:kern w:val="0"/>
                <w:sz w:val="24"/>
                <w:szCs w:val="24"/>
                <w:lang w:val="en-US" w:eastAsia="zh-CN" w:bidi="ar"/>
              </w:rPr>
              <w:t>篇</w:t>
            </w:r>
            <w:r>
              <w:rPr>
                <w:rFonts w:hint="eastAsia" w:ascii="仿宋_GB2312" w:hAnsi="仿宋_GB2312" w:eastAsia="仿宋_GB2312" w:cs="仿宋_GB2312"/>
                <w:bCs/>
                <w:color w:val="000000"/>
                <w:kern w:val="0"/>
                <w:sz w:val="24"/>
                <w:szCs w:val="24"/>
                <w:lang w:val="en-US" w:eastAsia="zh-CN" w:bidi="ar"/>
              </w:rPr>
              <w:t>）</w:t>
            </w:r>
            <w:r>
              <w:rPr>
                <w:rFonts w:hint="default" w:ascii="仿宋_GB2312" w:hAnsi="仿宋_GB2312" w:eastAsia="仿宋_GB2312" w:cs="仿宋_GB2312"/>
                <w:bCs/>
                <w:color w:val="000000"/>
                <w:kern w:val="0"/>
                <w:sz w:val="24"/>
                <w:szCs w:val="24"/>
                <w:lang w:val="en-US" w:eastAsia="zh-CN" w:bidi="ar"/>
              </w:rPr>
              <w:t>；省部级及以上</w:t>
            </w:r>
            <w:r>
              <w:rPr>
                <w:rFonts w:hint="eastAsia" w:ascii="仿宋_GB2312" w:hAnsi="仿宋_GB2312" w:eastAsia="仿宋_GB2312" w:cs="仿宋_GB2312"/>
                <w:bCs/>
                <w:color w:val="000000"/>
                <w:kern w:val="0"/>
                <w:sz w:val="24"/>
                <w:szCs w:val="24"/>
                <w:lang w:val="en-US" w:eastAsia="zh-CN" w:bidi="ar"/>
              </w:rPr>
              <w:t>重要教学</w:t>
            </w:r>
            <w:r>
              <w:rPr>
                <w:rFonts w:hint="default" w:ascii="仿宋_GB2312" w:hAnsi="仿宋_GB2312" w:eastAsia="仿宋_GB2312" w:cs="仿宋_GB2312"/>
                <w:bCs/>
                <w:color w:val="000000"/>
                <w:kern w:val="0"/>
                <w:sz w:val="24"/>
                <w:szCs w:val="24"/>
                <w:lang w:bidi="ar"/>
              </w:rPr>
              <w:t>科研奖</w:t>
            </w:r>
            <w:r>
              <w:rPr>
                <w:rFonts w:hint="eastAsia" w:ascii="仿宋_GB2312" w:hAnsi="仿宋_GB2312" w:eastAsia="仿宋_GB2312" w:cs="仿宋_GB2312"/>
                <w:bCs/>
                <w:color w:val="000000"/>
                <w:kern w:val="0"/>
                <w:sz w:val="24"/>
                <w:szCs w:val="24"/>
                <w:lang w:val="en-US" w:eastAsia="zh-CN" w:bidi="ar"/>
              </w:rPr>
              <w:t>2-3</w:t>
            </w:r>
            <w:r>
              <w:rPr>
                <w:rFonts w:hint="default" w:ascii="仿宋_GB2312" w:hAnsi="仿宋_GB2312" w:eastAsia="仿宋_GB2312" w:cs="仿宋_GB2312"/>
                <w:bCs/>
                <w:color w:val="000000"/>
                <w:kern w:val="0"/>
                <w:sz w:val="24"/>
                <w:szCs w:val="24"/>
                <w:lang w:bidi="ar"/>
              </w:rPr>
              <w:t>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9" w:hRule="atLeast"/>
        </w:trPr>
        <w:tc>
          <w:tcPr>
            <w:tcW w:w="1124" w:type="dxa"/>
            <w:vMerge w:val="continue"/>
            <w:noWrap w:val="0"/>
            <w:vAlign w:val="center"/>
          </w:tcPr>
          <w:p>
            <w:pPr>
              <w:jc w:val="left"/>
              <w:rPr>
                <w:rFonts w:hint="eastAsia" w:ascii="仿宋_GB2312" w:hAnsi="仿宋_GB2312" w:eastAsia="仿宋_GB2312" w:cs="仿宋_GB2312"/>
                <w:bCs/>
                <w:color w:val="000000"/>
                <w:sz w:val="24"/>
                <w:szCs w:val="24"/>
              </w:rPr>
            </w:pPr>
          </w:p>
        </w:tc>
        <w:tc>
          <w:tcPr>
            <w:tcW w:w="1855" w:type="dxa"/>
            <w:noWrap w:val="0"/>
            <w:vAlign w:val="center"/>
          </w:tcPr>
          <w:p>
            <w:pPr>
              <w:widowControl/>
              <w:jc w:val="left"/>
              <w:textAlignment w:val="center"/>
              <w:rPr>
                <w:rFonts w:hint="eastAsia" w:ascii="仿宋_GB2312" w:hAnsi="仿宋_GB2312" w:eastAsia="仿宋_GB2312" w:cs="仿宋_GB2312"/>
                <w:bCs/>
                <w:color w:val="000000"/>
                <w:sz w:val="24"/>
                <w:szCs w:val="24"/>
              </w:rPr>
            </w:pPr>
            <w:r>
              <w:rPr>
                <w:rFonts w:hint="eastAsia" w:ascii="仿宋_GB2312" w:hAnsi="仿宋_GB2312" w:eastAsia="仿宋_GB2312" w:cs="仿宋_GB2312"/>
                <w:bCs/>
                <w:color w:val="000000"/>
                <w:kern w:val="0"/>
                <w:sz w:val="24"/>
                <w:szCs w:val="24"/>
                <w:lang w:bidi="ar"/>
              </w:rPr>
              <w:t>10.学术交流</w:t>
            </w:r>
          </w:p>
        </w:tc>
        <w:tc>
          <w:tcPr>
            <w:tcW w:w="2919" w:type="dxa"/>
            <w:noWrap w:val="0"/>
            <w:vAlign w:val="center"/>
          </w:tcPr>
          <w:p>
            <w:pPr>
              <w:jc w:val="left"/>
              <w:textAlignment w:val="baseline"/>
              <w:rPr>
                <w:rFonts w:hint="eastAsia" w:ascii="仿宋_GB2312" w:hAnsi="仿宋_GB2312" w:eastAsia="仿宋_GB2312" w:cs="仿宋_GB2312"/>
                <w:bCs/>
                <w:color w:val="000000"/>
                <w:kern w:val="0"/>
                <w:sz w:val="24"/>
                <w:szCs w:val="24"/>
                <w:lang w:bidi="ar"/>
              </w:rPr>
            </w:pPr>
            <w:r>
              <w:rPr>
                <w:rFonts w:hint="eastAsia" w:ascii="仿宋_GB2312" w:hAnsi="仿宋_GB2312" w:eastAsia="仿宋_GB2312" w:cs="仿宋_GB2312"/>
                <w:bCs/>
                <w:color w:val="000000"/>
                <w:kern w:val="0"/>
                <w:sz w:val="24"/>
                <w:szCs w:val="24"/>
                <w:lang w:bidi="ar"/>
              </w:rPr>
              <w:t>近</w:t>
            </w:r>
            <w:r>
              <w:rPr>
                <w:rFonts w:hint="eastAsia" w:ascii="仿宋_GB2312" w:hAnsi="仿宋_GB2312" w:eastAsia="仿宋_GB2312" w:cs="仿宋_GB2312"/>
                <w:bCs/>
                <w:color w:val="000000"/>
                <w:kern w:val="0"/>
                <w:sz w:val="24"/>
                <w:szCs w:val="24"/>
                <w:lang w:val="en-US" w:eastAsia="zh-CN" w:bidi="ar"/>
              </w:rPr>
              <w:t>5</w:t>
            </w:r>
            <w:r>
              <w:rPr>
                <w:rFonts w:hint="eastAsia" w:ascii="仿宋_GB2312" w:hAnsi="仿宋_GB2312" w:eastAsia="仿宋_GB2312" w:cs="仿宋_GB2312"/>
                <w:bCs/>
                <w:color w:val="000000"/>
                <w:kern w:val="0"/>
                <w:sz w:val="24"/>
                <w:szCs w:val="24"/>
                <w:lang w:bidi="ar"/>
              </w:rPr>
              <w:t>年，我院教师参加过多项国内学术会议、赴境外参加过1项学科内有影响力的国际学术研讨会议，邀请校外学者来校开展学术讲座多次。</w:t>
            </w:r>
          </w:p>
          <w:p>
            <w:pPr>
              <w:jc w:val="left"/>
              <w:textAlignment w:val="baseline"/>
              <w:rPr>
                <w:rFonts w:hint="eastAsia" w:ascii="仿宋_GB2312" w:hAnsi="仿宋_GB2312" w:eastAsia="仿宋_GB2312" w:cs="仿宋_GB2312"/>
                <w:bCs/>
                <w:color w:val="000000"/>
                <w:kern w:val="0"/>
                <w:sz w:val="24"/>
                <w:szCs w:val="24"/>
                <w:lang w:bidi="ar"/>
              </w:rPr>
            </w:pPr>
          </w:p>
          <w:p>
            <w:pPr>
              <w:jc w:val="left"/>
              <w:textAlignment w:val="baseline"/>
              <w:rPr>
                <w:rFonts w:hint="eastAsia" w:ascii="仿宋_GB2312" w:hAnsi="仿宋_GB2312" w:eastAsia="仿宋_GB2312" w:cs="仿宋_GB2312"/>
                <w:bCs/>
                <w:color w:val="000000"/>
                <w:kern w:val="0"/>
                <w:sz w:val="24"/>
                <w:szCs w:val="24"/>
                <w:lang w:bidi="ar"/>
              </w:rPr>
            </w:pPr>
          </w:p>
        </w:tc>
        <w:tc>
          <w:tcPr>
            <w:tcW w:w="2712" w:type="dxa"/>
            <w:noWrap w:val="0"/>
            <w:vAlign w:val="top"/>
          </w:tcPr>
          <w:p>
            <w:pPr>
              <w:jc w:val="left"/>
              <w:textAlignment w:val="baseline"/>
              <w:rPr>
                <w:rFonts w:hint="eastAsia" w:ascii="仿宋_GB2312" w:hAnsi="仿宋_GB2312" w:eastAsia="仿宋_GB2312" w:cs="仿宋_GB2312"/>
                <w:bCs/>
                <w:color w:val="000000"/>
                <w:kern w:val="0"/>
                <w:sz w:val="24"/>
                <w:szCs w:val="24"/>
                <w:lang w:bidi="ar"/>
              </w:rPr>
            </w:pPr>
            <w:r>
              <w:rPr>
                <w:rFonts w:hint="default" w:ascii="仿宋_GB2312" w:hAnsi="仿宋_GB2312" w:eastAsia="仿宋_GB2312" w:cs="仿宋_GB2312"/>
                <w:bCs/>
                <w:color w:val="000000"/>
                <w:kern w:val="0"/>
                <w:sz w:val="24"/>
                <w:szCs w:val="24"/>
                <w:lang w:bidi="ar"/>
              </w:rPr>
              <w:t>鼓励教师每年内至少参加</w:t>
            </w:r>
            <w:r>
              <w:rPr>
                <w:rFonts w:hint="eastAsia" w:ascii="仿宋_GB2312" w:hAnsi="仿宋_GB2312" w:eastAsia="仿宋_GB2312" w:cs="仿宋_GB2312"/>
                <w:bCs/>
                <w:color w:val="000000"/>
                <w:kern w:val="0"/>
                <w:sz w:val="24"/>
                <w:szCs w:val="24"/>
                <w:lang w:val="en-US" w:eastAsia="zh-CN" w:bidi="ar"/>
              </w:rPr>
              <w:t>3</w:t>
            </w:r>
            <w:r>
              <w:rPr>
                <w:rFonts w:hint="default" w:ascii="仿宋_GB2312" w:hAnsi="仿宋_GB2312" w:eastAsia="仿宋_GB2312" w:cs="仿宋_GB2312"/>
                <w:bCs/>
                <w:color w:val="000000"/>
                <w:kern w:val="0"/>
                <w:sz w:val="24"/>
                <w:szCs w:val="24"/>
                <w:lang w:bidi="ar"/>
              </w:rPr>
              <w:t>次学科内具有影响力的国内外学术交流会议；每年</w:t>
            </w:r>
            <w:r>
              <w:rPr>
                <w:rFonts w:hint="eastAsia" w:ascii="仿宋_GB2312" w:hAnsi="仿宋_GB2312" w:eastAsia="仿宋_GB2312" w:cs="仿宋_GB2312"/>
                <w:bCs/>
                <w:color w:val="000000"/>
                <w:kern w:val="0"/>
                <w:sz w:val="24"/>
                <w:szCs w:val="24"/>
                <w:lang w:val="en-US" w:eastAsia="zh-CN" w:bidi="ar"/>
              </w:rPr>
              <w:t>主</w:t>
            </w:r>
            <w:r>
              <w:rPr>
                <w:rFonts w:hint="default" w:ascii="仿宋_GB2312" w:hAnsi="仿宋_GB2312" w:eastAsia="仿宋_GB2312" w:cs="仿宋_GB2312"/>
                <w:bCs/>
                <w:color w:val="000000"/>
                <w:kern w:val="0"/>
                <w:sz w:val="24"/>
                <w:szCs w:val="24"/>
                <w:lang w:bidi="ar"/>
              </w:rPr>
              <w:t>办1次学科内的学术研讨会</w:t>
            </w:r>
            <w:r>
              <w:rPr>
                <w:rFonts w:hint="eastAsia" w:ascii="仿宋_GB2312" w:hAnsi="仿宋_GB2312" w:eastAsia="仿宋_GB2312" w:cs="仿宋_GB2312"/>
                <w:bCs/>
                <w:color w:val="000000"/>
                <w:kern w:val="0"/>
                <w:sz w:val="24"/>
                <w:szCs w:val="24"/>
                <w:lang w:eastAsia="zh-CN" w:bidi="ar"/>
              </w:rPr>
              <w:t>（</w:t>
            </w:r>
            <w:r>
              <w:rPr>
                <w:rFonts w:hint="eastAsia" w:ascii="仿宋_GB2312" w:hAnsi="仿宋_GB2312" w:eastAsia="仿宋_GB2312" w:cs="仿宋_GB2312"/>
                <w:bCs/>
                <w:color w:val="000000"/>
                <w:kern w:val="0"/>
                <w:sz w:val="24"/>
                <w:szCs w:val="24"/>
                <w:lang w:val="en-US" w:eastAsia="zh-CN" w:bidi="ar"/>
              </w:rPr>
              <w:t>论坛</w:t>
            </w:r>
            <w:r>
              <w:rPr>
                <w:rFonts w:hint="eastAsia" w:ascii="仿宋_GB2312" w:hAnsi="仿宋_GB2312" w:eastAsia="仿宋_GB2312" w:cs="仿宋_GB2312"/>
                <w:bCs/>
                <w:color w:val="000000"/>
                <w:kern w:val="0"/>
                <w:sz w:val="24"/>
                <w:szCs w:val="24"/>
                <w:lang w:eastAsia="zh-CN" w:bidi="ar"/>
              </w:rPr>
              <w:t>）</w:t>
            </w:r>
            <w:r>
              <w:rPr>
                <w:rFonts w:hint="default" w:ascii="仿宋_GB2312" w:hAnsi="仿宋_GB2312" w:eastAsia="仿宋_GB2312" w:cs="仿宋_GB2312"/>
                <w:bCs/>
                <w:color w:val="000000"/>
                <w:kern w:val="0"/>
                <w:sz w:val="24"/>
                <w:szCs w:val="24"/>
                <w:lang w:bidi="ar"/>
              </w:rPr>
              <w:t>；</w:t>
            </w:r>
            <w:r>
              <w:rPr>
                <w:rFonts w:hint="eastAsia" w:ascii="仿宋_GB2312" w:hAnsi="仿宋_GB2312" w:eastAsia="仿宋_GB2312" w:cs="仿宋_GB2312"/>
                <w:bCs/>
                <w:color w:val="000000"/>
                <w:kern w:val="0"/>
                <w:sz w:val="24"/>
                <w:szCs w:val="24"/>
                <w:lang w:val="en-US" w:eastAsia="zh-CN" w:bidi="ar"/>
              </w:rPr>
              <w:t>开始“贤达金融讲堂”，</w:t>
            </w:r>
            <w:r>
              <w:rPr>
                <w:rFonts w:hint="default" w:ascii="仿宋_GB2312" w:hAnsi="仿宋_GB2312" w:eastAsia="仿宋_GB2312" w:cs="仿宋_GB2312"/>
                <w:bCs/>
                <w:color w:val="000000"/>
                <w:kern w:val="0"/>
                <w:sz w:val="24"/>
                <w:szCs w:val="24"/>
                <w:lang w:bidi="ar"/>
              </w:rPr>
              <w:t>每年至少邀请3名国内外知名学者来校开展学术讲座。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9" w:hRule="atLeast"/>
        </w:trPr>
        <w:tc>
          <w:tcPr>
            <w:tcW w:w="1124" w:type="dxa"/>
            <w:vMerge w:val="continue"/>
            <w:noWrap w:val="0"/>
            <w:vAlign w:val="center"/>
          </w:tcPr>
          <w:p>
            <w:pPr>
              <w:jc w:val="left"/>
              <w:rPr>
                <w:rFonts w:hint="eastAsia" w:ascii="仿宋_GB2312" w:hAnsi="仿宋_GB2312" w:eastAsia="仿宋_GB2312" w:cs="仿宋_GB2312"/>
                <w:bCs/>
                <w:color w:val="000000"/>
                <w:sz w:val="24"/>
                <w:szCs w:val="24"/>
              </w:rPr>
            </w:pPr>
          </w:p>
        </w:tc>
        <w:tc>
          <w:tcPr>
            <w:tcW w:w="1855" w:type="dxa"/>
            <w:noWrap w:val="0"/>
            <w:vAlign w:val="center"/>
          </w:tcPr>
          <w:p>
            <w:pPr>
              <w:widowControl/>
              <w:jc w:val="left"/>
              <w:textAlignment w:val="center"/>
              <w:rPr>
                <w:rFonts w:hint="eastAsia" w:ascii="仿宋_GB2312" w:hAnsi="仿宋_GB2312" w:eastAsia="仿宋_GB2312" w:cs="仿宋_GB2312"/>
                <w:bCs/>
                <w:color w:val="000000"/>
                <w:sz w:val="24"/>
                <w:szCs w:val="24"/>
              </w:rPr>
            </w:pPr>
            <w:r>
              <w:rPr>
                <w:rFonts w:hint="eastAsia" w:ascii="仿宋_GB2312" w:hAnsi="仿宋_GB2312" w:eastAsia="仿宋_GB2312" w:cs="仿宋_GB2312"/>
                <w:bCs/>
                <w:color w:val="000000"/>
                <w:kern w:val="0"/>
                <w:sz w:val="24"/>
                <w:szCs w:val="24"/>
                <w:lang w:bidi="ar"/>
              </w:rPr>
              <w:t>11.支撑条件</w:t>
            </w:r>
          </w:p>
        </w:tc>
        <w:tc>
          <w:tcPr>
            <w:tcW w:w="2919" w:type="dxa"/>
            <w:noWrap w:val="0"/>
            <w:vAlign w:val="center"/>
          </w:tcPr>
          <w:p>
            <w:pPr>
              <w:jc w:val="left"/>
              <w:textAlignment w:val="baseline"/>
              <w:rPr>
                <w:rFonts w:hint="eastAsia" w:ascii="仿宋_GB2312" w:hAnsi="仿宋_GB2312" w:eastAsia="仿宋_GB2312" w:cs="仿宋_GB2312"/>
                <w:bCs/>
                <w:color w:val="000000"/>
                <w:kern w:val="0"/>
                <w:sz w:val="24"/>
                <w:szCs w:val="24"/>
                <w:lang w:bidi="ar"/>
              </w:rPr>
            </w:pPr>
            <w:r>
              <w:rPr>
                <w:rFonts w:hint="eastAsia" w:ascii="仿宋_GB2312" w:hAnsi="仿宋_GB2312" w:eastAsia="仿宋_GB2312" w:cs="仿宋_GB2312"/>
                <w:bCs/>
                <w:color w:val="000000"/>
                <w:kern w:val="0"/>
                <w:sz w:val="24"/>
                <w:szCs w:val="24"/>
                <w:lang w:bidi="ar"/>
              </w:rPr>
              <w:t>金融专业实验课程使用的实验室共有5个，总面积1090平方米。新的金融实验教学中心正在建造中，完成后可满足金融专业教师科研，学生实践教学需要。签约的校外实习基地共有10个，截至2020年9月1日，图书馆现有馆藏图书总量：70.8556万册，电子图书2,032,895册，电子期刊：6500种，可满足学生教学、实习需要。</w:t>
            </w:r>
          </w:p>
        </w:tc>
        <w:tc>
          <w:tcPr>
            <w:tcW w:w="2712" w:type="dxa"/>
            <w:noWrap w:val="0"/>
            <w:vAlign w:val="top"/>
          </w:tcPr>
          <w:p>
            <w:pPr>
              <w:jc w:val="left"/>
              <w:textAlignment w:val="baseline"/>
              <w:rPr>
                <w:rFonts w:hint="default" w:ascii="仿宋_GB2312" w:hAnsi="仿宋_GB2312" w:eastAsia="仿宋_GB2312" w:cs="仿宋_GB2312"/>
                <w:bCs/>
                <w:color w:val="000000"/>
                <w:kern w:val="0"/>
                <w:sz w:val="24"/>
                <w:szCs w:val="24"/>
                <w:lang w:val="en-US" w:eastAsia="zh-CN" w:bidi="ar"/>
              </w:rPr>
            </w:pPr>
            <w:r>
              <w:rPr>
                <w:rFonts w:hint="eastAsia" w:ascii="仿宋_GB2312" w:hAnsi="仿宋_GB2312" w:eastAsia="仿宋_GB2312" w:cs="仿宋_GB2312"/>
                <w:bCs/>
                <w:color w:val="000000"/>
                <w:kern w:val="0"/>
                <w:sz w:val="24"/>
                <w:szCs w:val="24"/>
                <w:lang w:val="en-US" w:eastAsia="zh-CN" w:bidi="ar"/>
              </w:rPr>
              <w:t>（1）</w:t>
            </w:r>
            <w:r>
              <w:rPr>
                <w:rFonts w:hint="default" w:ascii="仿宋_GB2312" w:hAnsi="仿宋_GB2312" w:eastAsia="仿宋_GB2312" w:cs="仿宋_GB2312"/>
                <w:bCs/>
                <w:color w:val="000000"/>
                <w:kern w:val="0"/>
                <w:sz w:val="24"/>
                <w:szCs w:val="24"/>
                <w:lang w:val="en-US" w:eastAsia="zh-CN" w:bidi="ar"/>
              </w:rPr>
              <w:t>签约的校外</w:t>
            </w:r>
            <w:r>
              <w:rPr>
                <w:rFonts w:hint="eastAsia" w:ascii="仿宋_GB2312" w:hAnsi="仿宋_GB2312" w:eastAsia="仿宋_GB2312" w:cs="仿宋_GB2312"/>
                <w:bCs/>
                <w:color w:val="000000"/>
                <w:kern w:val="0"/>
                <w:sz w:val="24"/>
                <w:szCs w:val="24"/>
                <w:lang w:val="en-US" w:eastAsia="zh-CN" w:bidi="ar"/>
              </w:rPr>
              <w:t>行业实践</w:t>
            </w:r>
            <w:r>
              <w:rPr>
                <w:rFonts w:hint="default" w:ascii="仿宋_GB2312" w:hAnsi="仿宋_GB2312" w:eastAsia="仿宋_GB2312" w:cs="仿宋_GB2312"/>
                <w:bCs/>
                <w:color w:val="000000"/>
                <w:kern w:val="0"/>
                <w:sz w:val="24"/>
                <w:szCs w:val="24"/>
                <w:lang w:val="en-US" w:eastAsia="zh-CN" w:bidi="ar"/>
              </w:rPr>
              <w:t>实习基地</w:t>
            </w:r>
            <w:r>
              <w:rPr>
                <w:rFonts w:hint="eastAsia" w:ascii="仿宋_GB2312" w:hAnsi="仿宋_GB2312" w:eastAsia="仿宋_GB2312" w:cs="仿宋_GB2312"/>
                <w:bCs/>
                <w:color w:val="000000"/>
                <w:kern w:val="0"/>
                <w:sz w:val="24"/>
                <w:szCs w:val="24"/>
                <w:lang w:val="en-US" w:eastAsia="zh-CN" w:bidi="ar"/>
              </w:rPr>
              <w:t>达到</w:t>
            </w:r>
            <w:r>
              <w:rPr>
                <w:rFonts w:hint="default" w:ascii="仿宋_GB2312" w:hAnsi="仿宋_GB2312" w:eastAsia="仿宋_GB2312" w:cs="仿宋_GB2312"/>
                <w:bCs/>
                <w:color w:val="000000"/>
                <w:kern w:val="0"/>
                <w:sz w:val="24"/>
                <w:szCs w:val="24"/>
                <w:lang w:val="en-US" w:eastAsia="zh-CN" w:bidi="ar"/>
              </w:rPr>
              <w:t>1</w:t>
            </w:r>
            <w:r>
              <w:rPr>
                <w:rFonts w:hint="eastAsia" w:ascii="仿宋_GB2312" w:hAnsi="仿宋_GB2312" w:eastAsia="仿宋_GB2312" w:cs="仿宋_GB2312"/>
                <w:bCs/>
                <w:color w:val="000000"/>
                <w:kern w:val="0"/>
                <w:sz w:val="24"/>
                <w:szCs w:val="24"/>
                <w:lang w:val="en-US" w:eastAsia="zh-CN" w:bidi="ar"/>
              </w:rPr>
              <w:t>5</w:t>
            </w:r>
            <w:r>
              <w:rPr>
                <w:rFonts w:hint="default" w:ascii="仿宋_GB2312" w:hAnsi="仿宋_GB2312" w:eastAsia="仿宋_GB2312" w:cs="仿宋_GB2312"/>
                <w:bCs/>
                <w:color w:val="000000"/>
                <w:kern w:val="0"/>
                <w:sz w:val="24"/>
                <w:szCs w:val="24"/>
                <w:lang w:val="en-US" w:eastAsia="zh-CN" w:bidi="ar"/>
              </w:rPr>
              <w:t>个</w:t>
            </w:r>
            <w:r>
              <w:rPr>
                <w:rFonts w:hint="eastAsia" w:ascii="仿宋_GB2312" w:hAnsi="仿宋_GB2312" w:eastAsia="仿宋_GB2312" w:cs="仿宋_GB2312"/>
                <w:bCs/>
                <w:color w:val="000000"/>
                <w:kern w:val="0"/>
                <w:sz w:val="24"/>
                <w:szCs w:val="24"/>
                <w:lang w:val="en-US" w:eastAsia="zh-CN" w:bidi="ar"/>
              </w:rPr>
              <w:t>。</w:t>
            </w:r>
          </w:p>
          <w:p>
            <w:pPr>
              <w:jc w:val="left"/>
              <w:textAlignment w:val="baseline"/>
              <w:rPr>
                <w:rFonts w:hint="eastAsia" w:ascii="仿宋_GB2312" w:hAnsi="仿宋_GB2312" w:eastAsia="仿宋_GB2312" w:cs="仿宋_GB2312"/>
                <w:bCs/>
                <w:color w:val="000000"/>
                <w:kern w:val="0"/>
                <w:sz w:val="24"/>
                <w:szCs w:val="24"/>
                <w:lang w:bidi="ar"/>
              </w:rPr>
            </w:pPr>
            <w:r>
              <w:rPr>
                <w:rFonts w:hint="eastAsia" w:ascii="仿宋_GB2312" w:hAnsi="仿宋_GB2312" w:eastAsia="仿宋_GB2312" w:cs="仿宋_GB2312"/>
                <w:bCs/>
                <w:color w:val="000000"/>
                <w:kern w:val="0"/>
                <w:sz w:val="24"/>
                <w:szCs w:val="24"/>
                <w:lang w:val="en-US" w:eastAsia="zh-CN" w:bidi="ar"/>
              </w:rPr>
              <w:t>（2）完成崇明校区集成化</w:t>
            </w:r>
            <w:r>
              <w:rPr>
                <w:rFonts w:hint="default" w:ascii="仿宋_GB2312" w:hAnsi="仿宋_GB2312" w:eastAsia="仿宋_GB2312" w:cs="仿宋_GB2312"/>
                <w:bCs/>
                <w:color w:val="000000"/>
                <w:kern w:val="0"/>
                <w:sz w:val="24"/>
                <w:szCs w:val="24"/>
                <w:lang w:val="en-US" w:eastAsia="zh-CN" w:bidi="ar"/>
              </w:rPr>
              <w:t>金融实验教学中心建造。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9" w:hRule="atLeast"/>
        </w:trPr>
        <w:tc>
          <w:tcPr>
            <w:tcW w:w="1124" w:type="dxa"/>
            <w:noWrap w:val="0"/>
            <w:vAlign w:val="center"/>
          </w:tcPr>
          <w:p>
            <w:pPr>
              <w:widowControl/>
              <w:jc w:val="left"/>
              <w:textAlignment w:val="center"/>
              <w:rPr>
                <w:rFonts w:hint="eastAsia" w:ascii="仿宋_GB2312" w:hAnsi="仿宋_GB2312" w:eastAsia="仿宋_GB2312" w:cs="仿宋_GB2312"/>
                <w:bCs/>
                <w:color w:val="000000"/>
                <w:kern w:val="0"/>
                <w:sz w:val="24"/>
                <w:szCs w:val="24"/>
                <w:lang w:bidi="ar"/>
              </w:rPr>
            </w:pPr>
            <w:r>
              <w:rPr>
                <w:rFonts w:hint="eastAsia" w:ascii="仿宋_GB2312" w:hAnsi="仿宋_GB2312" w:eastAsia="仿宋_GB2312" w:cs="仿宋_GB2312"/>
                <w:bCs/>
                <w:color w:val="000000"/>
                <w:kern w:val="0"/>
                <w:sz w:val="24"/>
                <w:szCs w:val="24"/>
                <w:lang w:bidi="ar"/>
              </w:rPr>
              <w:t>五、其他要求</w:t>
            </w:r>
          </w:p>
        </w:tc>
        <w:tc>
          <w:tcPr>
            <w:tcW w:w="1855" w:type="dxa"/>
            <w:noWrap w:val="0"/>
            <w:vAlign w:val="center"/>
          </w:tcPr>
          <w:p>
            <w:pPr>
              <w:widowControl/>
              <w:jc w:val="center"/>
              <w:textAlignment w:val="center"/>
              <w:rPr>
                <w:rFonts w:hint="eastAsia" w:ascii="仿宋_GB2312" w:hAnsi="仿宋_GB2312" w:eastAsia="仿宋_GB2312" w:cs="仿宋_GB2312"/>
                <w:bCs/>
                <w:color w:val="000000"/>
                <w:kern w:val="0"/>
                <w:sz w:val="24"/>
                <w:szCs w:val="24"/>
                <w:lang w:bidi="ar"/>
              </w:rPr>
            </w:pPr>
          </w:p>
        </w:tc>
        <w:tc>
          <w:tcPr>
            <w:tcW w:w="2919" w:type="dxa"/>
            <w:noWrap w:val="0"/>
            <w:vAlign w:val="center"/>
          </w:tcPr>
          <w:p>
            <w:pPr>
              <w:jc w:val="center"/>
              <w:rPr>
                <w:rFonts w:hint="eastAsia" w:ascii="仿宋_GB2312" w:hAnsi="仿宋_GB2312" w:eastAsia="仿宋_GB2312" w:cs="仿宋_GB2312"/>
                <w:b/>
                <w:color w:val="000000"/>
                <w:sz w:val="24"/>
                <w:szCs w:val="24"/>
              </w:rPr>
            </w:pPr>
          </w:p>
        </w:tc>
        <w:tc>
          <w:tcPr>
            <w:tcW w:w="2712" w:type="dxa"/>
            <w:noWrap w:val="0"/>
            <w:vAlign w:val="center"/>
          </w:tcPr>
          <w:p>
            <w:pPr>
              <w:jc w:val="center"/>
              <w:rPr>
                <w:rFonts w:hint="eastAsia" w:ascii="仿宋_GB2312" w:hAnsi="仿宋_GB2312" w:eastAsia="仿宋_GB2312" w:cs="仿宋_GB2312"/>
                <w:b/>
                <w:color w:val="000000"/>
                <w:sz w:val="24"/>
                <w:szCs w:val="24"/>
              </w:rPr>
            </w:pPr>
          </w:p>
        </w:tc>
      </w:tr>
    </w:tbl>
    <w:p>
      <w:pPr>
        <w:rPr>
          <w:vanish/>
          <w:color w:val="000000"/>
        </w:rPr>
      </w:pPr>
    </w:p>
    <w:p>
      <w:pPr>
        <w:outlineLvl w:val="0"/>
        <w:rPr>
          <w:rFonts w:hint="eastAsia" w:ascii="仿宋_GB2312" w:hAnsi="仿宋_GB2312" w:eastAsia="仿宋_GB2312" w:cs="仿宋_GB2312"/>
          <w:bCs/>
          <w:color w:val="000000"/>
          <w:sz w:val="20"/>
          <w:szCs w:val="20"/>
        </w:rPr>
        <w:sectPr>
          <w:footerReference r:id="rId14" w:type="default"/>
          <w:pgSz w:w="11906" w:h="16838"/>
          <w:pgMar w:top="1701" w:right="1588" w:bottom="1701" w:left="1588" w:header="851" w:footer="992" w:gutter="0"/>
          <w:cols w:space="720" w:num="1"/>
          <w:docGrid w:type="lines" w:linePitch="312" w:charSpace="0"/>
        </w:sectPr>
      </w:pPr>
      <w:r>
        <w:rPr>
          <w:rFonts w:hint="eastAsia" w:ascii="仿宋_GB2312" w:hAnsi="仿宋_GB2312" w:eastAsia="仿宋_GB2312" w:cs="仿宋_GB2312"/>
          <w:bCs/>
          <w:color w:val="000000"/>
          <w:sz w:val="20"/>
          <w:szCs w:val="20"/>
        </w:rPr>
        <w:t>注：如拟建设的学位点有多个，请自行复制五至七填写。</w:t>
      </w:r>
    </w:p>
    <w:p>
      <w:pPr>
        <w:outlineLvl w:val="0"/>
        <w:rPr>
          <w:rFonts w:hint="eastAsia" w:ascii="黑体" w:hAnsi="黑体" w:eastAsia="黑体" w:cs="黑体"/>
          <w:bCs/>
          <w:color w:val="000000"/>
          <w:sz w:val="30"/>
          <w:szCs w:val="30"/>
        </w:rPr>
      </w:pPr>
      <w:r>
        <w:rPr>
          <w:rFonts w:hint="eastAsia" w:ascii="黑体" w:hAnsi="黑体" w:eastAsia="黑体" w:cs="黑体"/>
          <w:bCs/>
          <w:color w:val="000000"/>
          <w:sz w:val="30"/>
          <w:szCs w:val="30"/>
        </w:rPr>
        <w:t>七、学位授权审核申请基本条件对照表（学位点名称： 艺术  ）</w:t>
      </w:r>
    </w:p>
    <w:tbl>
      <w:tblPr>
        <w:tblStyle w:val="9"/>
        <w:tblW w:w="4883"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23"/>
        <w:gridCol w:w="1852"/>
        <w:gridCol w:w="2916"/>
        <w:gridCol w:w="28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6" w:hRule="atLeast"/>
        </w:trPr>
        <w:tc>
          <w:tcPr>
            <w:tcW w:w="2976" w:type="dxa"/>
            <w:gridSpan w:val="2"/>
            <w:noWrap w:val="0"/>
            <w:vAlign w:val="center"/>
          </w:tcPr>
          <w:p>
            <w:pPr>
              <w:widowControl/>
              <w:jc w:val="center"/>
              <w:textAlignment w:val="center"/>
              <w:rPr>
                <w:rFonts w:hint="eastAsia" w:ascii="仿宋_GB2312" w:hAnsi="仿宋_GB2312" w:eastAsia="仿宋_GB2312" w:cs="仿宋_GB2312"/>
                <w:b/>
                <w:color w:val="000000"/>
                <w:kern w:val="0"/>
                <w:sz w:val="28"/>
                <w:szCs w:val="28"/>
                <w:lang w:bidi="ar"/>
              </w:rPr>
            </w:pPr>
            <w:r>
              <w:rPr>
                <w:rFonts w:hint="eastAsia" w:ascii="仿宋_GB2312" w:hAnsi="仿宋_GB2312" w:eastAsia="仿宋_GB2312" w:cs="仿宋_GB2312"/>
                <w:b/>
                <w:color w:val="000000"/>
                <w:kern w:val="0"/>
                <w:sz w:val="28"/>
                <w:szCs w:val="28"/>
                <w:lang w:bidi="ar"/>
              </w:rPr>
              <w:t>国家规定基本条件</w:t>
            </w:r>
          </w:p>
          <w:p>
            <w:pPr>
              <w:widowControl/>
              <w:spacing w:line="260" w:lineRule="exact"/>
              <w:textAlignment w:val="center"/>
              <w:rPr>
                <w:rFonts w:hint="eastAsia" w:ascii="仿宋_GB2312" w:hAnsi="仿宋_GB2312" w:eastAsia="仿宋_GB2312" w:cs="仿宋_GB2312"/>
                <w:b/>
                <w:color w:val="000000"/>
                <w:sz w:val="28"/>
                <w:szCs w:val="28"/>
              </w:rPr>
            </w:pPr>
            <w:r>
              <w:rPr>
                <w:rFonts w:hint="eastAsia" w:ascii="仿宋_GB2312" w:hAnsi="仿宋_GB2312" w:eastAsia="仿宋_GB2312" w:cs="仿宋_GB2312"/>
                <w:bCs/>
                <w:color w:val="000000"/>
                <w:kern w:val="0"/>
                <w:sz w:val="20"/>
                <w:szCs w:val="20"/>
                <w:lang w:bidi="ar"/>
              </w:rPr>
              <w:t>（需按申请的具体类型和学科，对标《学位授权审核申请基本条件（2020）》逐一填写）</w:t>
            </w:r>
          </w:p>
        </w:tc>
        <w:tc>
          <w:tcPr>
            <w:tcW w:w="2916" w:type="dxa"/>
            <w:noWrap w:val="0"/>
            <w:vAlign w:val="center"/>
          </w:tcPr>
          <w:p>
            <w:pPr>
              <w:widowControl/>
              <w:jc w:val="center"/>
              <w:textAlignment w:val="center"/>
              <w:rPr>
                <w:rFonts w:hint="eastAsia" w:ascii="仿宋_GB2312" w:hAnsi="仿宋_GB2312" w:eastAsia="仿宋_GB2312" w:cs="仿宋_GB2312"/>
                <w:b/>
                <w:color w:val="000000"/>
                <w:sz w:val="28"/>
                <w:szCs w:val="28"/>
              </w:rPr>
            </w:pPr>
            <w:r>
              <w:rPr>
                <w:rFonts w:hint="eastAsia" w:ascii="仿宋_GB2312" w:hAnsi="仿宋_GB2312" w:eastAsia="仿宋_GB2312" w:cs="仿宋_GB2312"/>
                <w:b/>
                <w:color w:val="000000"/>
                <w:sz w:val="28"/>
                <w:szCs w:val="28"/>
              </w:rPr>
              <w:t>目前情况</w:t>
            </w:r>
          </w:p>
        </w:tc>
        <w:tc>
          <w:tcPr>
            <w:tcW w:w="2846" w:type="dxa"/>
            <w:noWrap w:val="0"/>
            <w:vAlign w:val="center"/>
          </w:tcPr>
          <w:p>
            <w:pPr>
              <w:widowControl/>
              <w:jc w:val="center"/>
              <w:textAlignment w:val="center"/>
              <w:rPr>
                <w:rFonts w:hint="eastAsia" w:ascii="仿宋_GB2312" w:hAnsi="仿宋_GB2312" w:eastAsia="仿宋_GB2312" w:cs="仿宋_GB2312"/>
                <w:b/>
                <w:color w:val="000000"/>
                <w:sz w:val="28"/>
                <w:szCs w:val="28"/>
              </w:rPr>
            </w:pPr>
            <w:r>
              <w:rPr>
                <w:rFonts w:hint="eastAsia" w:ascii="仿宋_GB2312" w:hAnsi="仿宋_GB2312" w:eastAsia="仿宋_GB2312" w:cs="仿宋_GB2312"/>
                <w:b/>
                <w:color w:val="000000"/>
                <w:sz w:val="28"/>
                <w:szCs w:val="28"/>
              </w:rPr>
              <w:t>建设目标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9" w:hRule="atLeast"/>
        </w:trPr>
        <w:tc>
          <w:tcPr>
            <w:tcW w:w="1124" w:type="dxa"/>
            <w:vMerge w:val="restart"/>
            <w:noWrap w:val="0"/>
            <w:vAlign w:val="center"/>
          </w:tcPr>
          <w:p>
            <w:pPr>
              <w:widowControl/>
              <w:jc w:val="left"/>
              <w:textAlignment w:val="center"/>
              <w:rPr>
                <w:rFonts w:hint="eastAsia" w:ascii="仿宋_GB2312" w:hAnsi="仿宋_GB2312" w:eastAsia="仿宋_GB2312" w:cs="仿宋_GB2312"/>
                <w:bCs/>
                <w:color w:val="000000"/>
                <w:sz w:val="24"/>
                <w:szCs w:val="24"/>
              </w:rPr>
            </w:pPr>
            <w:r>
              <w:rPr>
                <w:rFonts w:hint="eastAsia" w:ascii="仿宋_GB2312" w:hAnsi="仿宋_GB2312" w:eastAsia="仿宋_GB2312" w:cs="仿宋_GB2312"/>
                <w:bCs/>
                <w:color w:val="000000"/>
                <w:kern w:val="0"/>
                <w:sz w:val="24"/>
                <w:szCs w:val="24"/>
                <w:lang w:bidi="ar"/>
              </w:rPr>
              <w:t>一、学科方向与特色</w:t>
            </w:r>
          </w:p>
        </w:tc>
        <w:tc>
          <w:tcPr>
            <w:tcW w:w="1852" w:type="dxa"/>
            <w:noWrap w:val="0"/>
            <w:vAlign w:val="center"/>
          </w:tcPr>
          <w:p>
            <w:pPr>
              <w:widowControl/>
              <w:jc w:val="left"/>
              <w:textAlignment w:val="center"/>
              <w:rPr>
                <w:rFonts w:hint="eastAsia" w:ascii="仿宋_GB2312" w:hAnsi="仿宋_GB2312" w:eastAsia="仿宋_GB2312" w:cs="仿宋_GB2312"/>
                <w:bCs/>
                <w:color w:val="000000"/>
                <w:sz w:val="24"/>
                <w:szCs w:val="24"/>
              </w:rPr>
            </w:pPr>
            <w:r>
              <w:rPr>
                <w:rFonts w:hint="eastAsia" w:ascii="仿宋_GB2312" w:hAnsi="仿宋_GB2312" w:eastAsia="仿宋_GB2312" w:cs="仿宋_GB2312"/>
                <w:bCs/>
                <w:color w:val="000000"/>
                <w:kern w:val="0"/>
                <w:sz w:val="24"/>
                <w:szCs w:val="24"/>
                <w:lang w:bidi="ar"/>
              </w:rPr>
              <w:t>1.学科方向</w:t>
            </w:r>
          </w:p>
        </w:tc>
        <w:tc>
          <w:tcPr>
            <w:tcW w:w="2916" w:type="dxa"/>
            <w:noWrap w:val="0"/>
            <w:vAlign w:val="center"/>
          </w:tcPr>
          <w:p>
            <w:pPr>
              <w:jc w:val="left"/>
              <w:textAlignment w:val="baseline"/>
              <w:rPr>
                <w:rFonts w:hint="eastAsia" w:ascii="仿宋_GB2312" w:hAnsi="仿宋_GB2312" w:eastAsia="仿宋_GB2312" w:cs="仿宋_GB2312"/>
                <w:bCs/>
                <w:color w:val="000000"/>
                <w:kern w:val="0"/>
                <w:sz w:val="24"/>
                <w:szCs w:val="24"/>
                <w:lang w:bidi="ar"/>
              </w:rPr>
            </w:pPr>
            <w:r>
              <w:rPr>
                <w:rFonts w:hint="eastAsia" w:ascii="仿宋_GB2312" w:hAnsi="仿宋_GB2312" w:eastAsia="仿宋_GB2312" w:cs="仿宋_GB2312"/>
                <w:bCs/>
                <w:color w:val="000000"/>
                <w:kern w:val="0"/>
                <w:sz w:val="24"/>
                <w:szCs w:val="24"/>
                <w:lang w:bidi="ar"/>
              </w:rPr>
              <w:t>艺术（1351）</w:t>
            </w:r>
          </w:p>
        </w:tc>
        <w:tc>
          <w:tcPr>
            <w:tcW w:w="2846" w:type="dxa"/>
            <w:noWrap w:val="0"/>
            <w:vAlign w:val="center"/>
          </w:tcPr>
          <w:p>
            <w:pPr>
              <w:jc w:val="left"/>
              <w:textAlignment w:val="baseline"/>
              <w:rPr>
                <w:rFonts w:hint="eastAsia" w:ascii="仿宋_GB2312" w:hAnsi="仿宋_GB2312" w:eastAsia="仿宋_GB2312" w:cs="仿宋_GB2312"/>
                <w:bCs/>
                <w:color w:val="000000"/>
                <w:kern w:val="0"/>
                <w:sz w:val="24"/>
                <w:szCs w:val="24"/>
                <w:lang w:bidi="ar"/>
              </w:rPr>
            </w:pPr>
            <w:r>
              <w:rPr>
                <w:rFonts w:hint="eastAsia" w:ascii="仿宋_GB2312" w:hAnsi="仿宋_GB2312" w:eastAsia="仿宋_GB2312" w:cs="仿宋_GB2312"/>
                <w:bCs/>
                <w:color w:val="000000"/>
                <w:kern w:val="0"/>
                <w:sz w:val="24"/>
                <w:szCs w:val="24"/>
                <w:lang w:bidi="ar"/>
              </w:rPr>
              <w:t>艺术硕士专业学位授权点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9" w:hRule="atLeast"/>
        </w:trPr>
        <w:tc>
          <w:tcPr>
            <w:tcW w:w="1124" w:type="dxa"/>
            <w:vMerge w:val="continue"/>
            <w:noWrap w:val="0"/>
            <w:vAlign w:val="center"/>
          </w:tcPr>
          <w:p>
            <w:pPr>
              <w:jc w:val="left"/>
              <w:rPr>
                <w:rFonts w:hint="eastAsia" w:ascii="仿宋_GB2312" w:hAnsi="仿宋_GB2312" w:eastAsia="仿宋_GB2312" w:cs="仿宋_GB2312"/>
                <w:bCs/>
                <w:color w:val="000000"/>
                <w:sz w:val="24"/>
                <w:szCs w:val="24"/>
              </w:rPr>
            </w:pPr>
          </w:p>
        </w:tc>
        <w:tc>
          <w:tcPr>
            <w:tcW w:w="1852" w:type="dxa"/>
            <w:noWrap w:val="0"/>
            <w:vAlign w:val="center"/>
          </w:tcPr>
          <w:p>
            <w:pPr>
              <w:widowControl/>
              <w:jc w:val="left"/>
              <w:textAlignment w:val="center"/>
              <w:rPr>
                <w:rFonts w:hint="eastAsia" w:ascii="仿宋_GB2312" w:hAnsi="仿宋_GB2312" w:eastAsia="仿宋_GB2312" w:cs="仿宋_GB2312"/>
                <w:bCs/>
                <w:color w:val="000000"/>
                <w:sz w:val="24"/>
                <w:szCs w:val="24"/>
              </w:rPr>
            </w:pPr>
            <w:r>
              <w:rPr>
                <w:rFonts w:hint="eastAsia" w:ascii="仿宋_GB2312" w:hAnsi="仿宋_GB2312" w:eastAsia="仿宋_GB2312" w:cs="仿宋_GB2312"/>
                <w:bCs/>
                <w:color w:val="000000"/>
                <w:kern w:val="0"/>
                <w:sz w:val="24"/>
                <w:szCs w:val="24"/>
                <w:lang w:bidi="ar"/>
              </w:rPr>
              <w:t>2.学科特色</w:t>
            </w:r>
          </w:p>
        </w:tc>
        <w:tc>
          <w:tcPr>
            <w:tcW w:w="2916" w:type="dxa"/>
            <w:noWrap w:val="0"/>
            <w:vAlign w:val="center"/>
          </w:tcPr>
          <w:p>
            <w:pPr>
              <w:jc w:val="left"/>
              <w:textAlignment w:val="baseline"/>
              <w:rPr>
                <w:rFonts w:hint="eastAsia" w:ascii="仿宋_GB2312" w:hAnsi="仿宋_GB2312" w:eastAsia="仿宋_GB2312" w:cs="仿宋_GB2312"/>
                <w:bCs/>
                <w:color w:val="000000"/>
                <w:kern w:val="0"/>
                <w:sz w:val="24"/>
                <w:szCs w:val="24"/>
                <w:lang w:bidi="ar"/>
              </w:rPr>
            </w:pPr>
            <w:r>
              <w:rPr>
                <w:rFonts w:hint="eastAsia" w:ascii="仿宋_GB2312" w:hAnsi="仿宋_GB2312" w:eastAsia="仿宋_GB2312" w:cs="仿宋_GB2312"/>
                <w:bCs/>
                <w:color w:val="000000"/>
                <w:kern w:val="0"/>
                <w:sz w:val="24"/>
                <w:szCs w:val="24"/>
                <w:lang w:bidi="ar"/>
              </w:rPr>
              <w:t>建立了“科技为驱动、艺术为表达、 媒介为载体”专业核心，培养应用型、复合型的高级艺术设计人才。通过产教融合、国际合作，建立动态的、可持续、可跟踪的理论与实践相结合的培养模式，形成差异化发展的教学特色。</w:t>
            </w:r>
          </w:p>
        </w:tc>
        <w:tc>
          <w:tcPr>
            <w:tcW w:w="2846" w:type="dxa"/>
            <w:noWrap w:val="0"/>
            <w:vAlign w:val="center"/>
          </w:tcPr>
          <w:p>
            <w:pPr>
              <w:jc w:val="left"/>
              <w:textAlignment w:val="baseline"/>
              <w:rPr>
                <w:rFonts w:hint="eastAsia" w:ascii="仿宋_GB2312" w:hAnsi="仿宋_GB2312" w:eastAsia="仿宋_GB2312" w:cs="仿宋_GB2312"/>
                <w:bCs/>
                <w:color w:val="000000"/>
                <w:kern w:val="0"/>
                <w:sz w:val="24"/>
                <w:szCs w:val="24"/>
                <w:lang w:bidi="ar"/>
              </w:rPr>
            </w:pPr>
            <w:r>
              <w:rPr>
                <w:rFonts w:hint="eastAsia" w:ascii="仿宋_GB2312" w:hAnsi="仿宋_GB2312" w:eastAsia="仿宋_GB2312" w:cs="仿宋_GB2312"/>
                <w:bCs/>
                <w:color w:val="000000"/>
                <w:kern w:val="0"/>
                <w:sz w:val="24"/>
                <w:szCs w:val="24"/>
                <w:lang w:bidi="ar"/>
              </w:rPr>
              <w:t>（1）数字空间与交互设计学科专业方向特色建设。以“科技为驱动、艺术为表达、媒介为载体”，聚焦数字空间与交互设计领域的专业研究、策划和创意应用开发。</w:t>
            </w:r>
          </w:p>
          <w:p>
            <w:pPr>
              <w:jc w:val="left"/>
              <w:textAlignment w:val="baseline"/>
              <w:rPr>
                <w:rFonts w:hint="eastAsia" w:ascii="仿宋_GB2312" w:hAnsi="仿宋_GB2312" w:eastAsia="仿宋_GB2312" w:cs="仿宋_GB2312"/>
                <w:bCs/>
                <w:color w:val="000000"/>
                <w:kern w:val="0"/>
                <w:sz w:val="24"/>
                <w:szCs w:val="24"/>
                <w:lang w:bidi="ar"/>
              </w:rPr>
            </w:pPr>
            <w:r>
              <w:rPr>
                <w:rFonts w:hint="eastAsia" w:ascii="仿宋_GB2312" w:hAnsi="仿宋_GB2312" w:eastAsia="仿宋_GB2312" w:cs="仿宋_GB2312"/>
                <w:bCs/>
                <w:color w:val="000000"/>
                <w:kern w:val="0"/>
                <w:sz w:val="24"/>
                <w:szCs w:val="24"/>
                <w:lang w:bidi="ar"/>
              </w:rPr>
              <w:t>旨在培养数字展陈、数字演出、信息交流与互动体验、影视动画、游戏设计与制作等数字艺术设计专业的创新型复合人才。以理论研究结合实践创作，以艺术表达结合技术应用，以人文关怀结合社会意识，突出学科交叉与融合。强化学生的审美能力与艺术素养，洞察能力与执行能力，独创能力和协作能力，使其具备良好的综合素质和开阔的行业视野。依托学校国际化教育资源与区域内行业资源，产、学、研相融合，通过“工作室制”、“项目制”等多维联动的教育教学方法，逐步确立并形成动态的、可持续、可跟踪的实践教学模式。</w:t>
            </w:r>
          </w:p>
          <w:p>
            <w:pPr>
              <w:jc w:val="left"/>
              <w:textAlignment w:val="baseline"/>
              <w:rPr>
                <w:rFonts w:hint="eastAsia" w:ascii="仿宋_GB2312" w:hAnsi="仿宋_GB2312" w:eastAsia="仿宋_GB2312" w:cs="仿宋_GB2312"/>
                <w:bCs/>
                <w:color w:val="000000"/>
                <w:kern w:val="0"/>
                <w:sz w:val="24"/>
                <w:szCs w:val="24"/>
                <w:lang w:bidi="ar"/>
              </w:rPr>
            </w:pPr>
            <w:r>
              <w:rPr>
                <w:rFonts w:hint="eastAsia" w:ascii="仿宋_GB2312" w:hAnsi="仿宋_GB2312" w:eastAsia="仿宋_GB2312" w:cs="仿宋_GB2312"/>
                <w:bCs/>
                <w:color w:val="000000"/>
                <w:kern w:val="0"/>
                <w:sz w:val="24"/>
                <w:szCs w:val="24"/>
                <w:lang w:bidi="ar"/>
              </w:rPr>
              <w:t>（2）环境空间与地域创新设计学科专业方向特色建设。围绕满足人民日益增长的美好生活为出发点，着眼于设计服务国家战略为基本需求，聚焦城市环境更新设计和乡村地域创新设计。全面理解与掌握环境设计领域的相关知识、技能和方法，既具有扎实的理论基础，又具有宽广的专业知识、敏捷的创意思维能力、熟练的设计表现技能；具有综合运用空间与景观设计方法及方法论原理，培养学生在本研究领域内具有创造力、感知力、表现力，具备和达到从事研究开发和解决实际问题的能力和要求。</w:t>
            </w:r>
          </w:p>
          <w:p>
            <w:pPr>
              <w:jc w:val="left"/>
              <w:textAlignment w:val="baseline"/>
              <w:rPr>
                <w:rFonts w:hint="eastAsia" w:ascii="仿宋_GB2312" w:hAnsi="仿宋_GB2312" w:eastAsia="仿宋_GB2312" w:cs="仿宋_GB2312"/>
                <w:bCs/>
                <w:color w:val="000000"/>
                <w:kern w:val="0"/>
                <w:sz w:val="24"/>
                <w:szCs w:val="24"/>
                <w:lang w:bidi="ar"/>
              </w:rPr>
            </w:pPr>
            <w:r>
              <w:rPr>
                <w:rFonts w:hint="eastAsia" w:ascii="仿宋_GB2312" w:hAnsi="仿宋_GB2312" w:eastAsia="仿宋_GB2312" w:cs="仿宋_GB2312"/>
                <w:bCs/>
                <w:color w:val="000000"/>
                <w:kern w:val="0"/>
                <w:sz w:val="24"/>
                <w:szCs w:val="24"/>
                <w:lang w:bidi="ar"/>
              </w:rPr>
              <w:t>（3）品牌形象与视觉传达设计学科专业方向特色建设。对接文创产业、广告行业与品牌传播需求，以“品牌洞察、社会感知、科艺融合、视觉创新”为专业核心，培养学生掌握专业理论基础、人文和艺术修养、先进的设计观念及设计实践能力；以互动式教学为主，突出田野调查和社会实践，通过理论与实践课程结合的教学模式，使学生在实践上具备较高的集体创作与团队协作能力。</w:t>
            </w:r>
          </w:p>
          <w:p>
            <w:pPr>
              <w:jc w:val="left"/>
              <w:textAlignment w:val="baseline"/>
              <w:rPr>
                <w:rFonts w:hint="eastAsia" w:ascii="仿宋_GB2312" w:hAnsi="仿宋_GB2312" w:eastAsia="仿宋_GB2312" w:cs="仿宋_GB2312"/>
                <w:bCs/>
                <w:color w:val="000000"/>
                <w:kern w:val="0"/>
                <w:sz w:val="24"/>
                <w:szCs w:val="24"/>
                <w:lang w:bidi="ar"/>
              </w:rPr>
            </w:pPr>
            <w:r>
              <w:rPr>
                <w:rFonts w:hint="eastAsia" w:ascii="仿宋_GB2312" w:hAnsi="仿宋_GB2312" w:eastAsia="仿宋_GB2312" w:cs="仿宋_GB2312"/>
                <w:bCs/>
                <w:color w:val="000000"/>
                <w:kern w:val="0"/>
                <w:sz w:val="24"/>
                <w:szCs w:val="24"/>
                <w:lang w:bidi="ar"/>
              </w:rPr>
              <w:t>立足崇明，深挖在地资源，依托“文教联盟”、长三角文创设计大赛等平台和行业资源，产学研融合，通过“工作室制”“项目制”等多维联动的教育教学方法，逐步确立，形成动态的、可持续、可跟踪的实践教学模式，出特色，创品牌。</w:t>
            </w:r>
          </w:p>
          <w:p>
            <w:pPr>
              <w:jc w:val="left"/>
              <w:textAlignment w:val="baseline"/>
              <w:rPr>
                <w:rFonts w:hint="eastAsia" w:ascii="仿宋_GB2312" w:hAnsi="仿宋_GB2312" w:eastAsia="仿宋_GB2312" w:cs="仿宋_GB2312"/>
                <w:bCs/>
                <w:color w:val="000000"/>
                <w:kern w:val="0"/>
                <w:sz w:val="24"/>
                <w:szCs w:val="24"/>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9" w:hRule="atLeast"/>
        </w:trPr>
        <w:tc>
          <w:tcPr>
            <w:tcW w:w="1124" w:type="dxa"/>
            <w:vMerge w:val="restart"/>
            <w:noWrap w:val="0"/>
            <w:vAlign w:val="center"/>
          </w:tcPr>
          <w:p>
            <w:pPr>
              <w:widowControl/>
              <w:jc w:val="left"/>
              <w:textAlignment w:val="center"/>
              <w:rPr>
                <w:rFonts w:hint="eastAsia" w:ascii="仿宋_GB2312" w:hAnsi="仿宋_GB2312" w:eastAsia="仿宋_GB2312" w:cs="仿宋_GB2312"/>
                <w:bCs/>
                <w:color w:val="000000"/>
                <w:sz w:val="24"/>
                <w:szCs w:val="24"/>
              </w:rPr>
            </w:pPr>
            <w:r>
              <w:rPr>
                <w:rFonts w:hint="eastAsia" w:ascii="仿宋_GB2312" w:hAnsi="仿宋_GB2312" w:eastAsia="仿宋_GB2312" w:cs="仿宋_GB2312"/>
                <w:bCs/>
                <w:color w:val="000000"/>
                <w:kern w:val="0"/>
                <w:sz w:val="24"/>
                <w:szCs w:val="24"/>
                <w:lang w:bidi="ar"/>
              </w:rPr>
              <w:t>二、学科队伍</w:t>
            </w:r>
          </w:p>
        </w:tc>
        <w:tc>
          <w:tcPr>
            <w:tcW w:w="1852" w:type="dxa"/>
            <w:noWrap w:val="0"/>
            <w:vAlign w:val="center"/>
          </w:tcPr>
          <w:p>
            <w:pPr>
              <w:widowControl/>
              <w:jc w:val="left"/>
              <w:textAlignment w:val="center"/>
              <w:rPr>
                <w:rFonts w:hint="eastAsia" w:ascii="仿宋_GB2312" w:hAnsi="仿宋_GB2312" w:eastAsia="仿宋_GB2312" w:cs="仿宋_GB2312"/>
                <w:bCs/>
                <w:color w:val="000000"/>
                <w:sz w:val="24"/>
                <w:szCs w:val="24"/>
              </w:rPr>
            </w:pPr>
            <w:r>
              <w:rPr>
                <w:rFonts w:hint="eastAsia" w:ascii="仿宋_GB2312" w:hAnsi="仿宋_GB2312" w:eastAsia="仿宋_GB2312" w:cs="仿宋_GB2312"/>
                <w:bCs/>
                <w:color w:val="000000"/>
                <w:kern w:val="0"/>
                <w:sz w:val="24"/>
                <w:szCs w:val="24"/>
                <w:lang w:bidi="ar"/>
              </w:rPr>
              <w:t>3.人员规模</w:t>
            </w:r>
          </w:p>
        </w:tc>
        <w:tc>
          <w:tcPr>
            <w:tcW w:w="2916" w:type="dxa"/>
            <w:noWrap w:val="0"/>
            <w:vAlign w:val="center"/>
          </w:tcPr>
          <w:p>
            <w:pPr>
              <w:jc w:val="left"/>
              <w:textAlignment w:val="baseline"/>
              <w:rPr>
                <w:rFonts w:hint="eastAsia" w:ascii="仿宋_GB2312" w:hAnsi="仿宋_GB2312" w:eastAsia="仿宋_GB2312" w:cs="仿宋_GB2312"/>
                <w:bCs/>
                <w:color w:val="000000"/>
                <w:kern w:val="0"/>
                <w:sz w:val="24"/>
                <w:szCs w:val="24"/>
                <w:lang w:bidi="ar"/>
              </w:rPr>
            </w:pPr>
            <w:r>
              <w:rPr>
                <w:rFonts w:hint="eastAsia" w:ascii="仿宋_GB2312" w:hAnsi="仿宋_GB2312" w:eastAsia="仿宋_GB2312" w:cs="仿宋_GB2312"/>
                <w:bCs/>
                <w:color w:val="000000"/>
                <w:kern w:val="0"/>
                <w:sz w:val="24"/>
                <w:szCs w:val="24"/>
                <w:lang w:bidi="ar"/>
              </w:rPr>
              <w:t>专业教师共87名教师。专任教师中，教授5人，每个专业均有1-2位教授;其中从事设计历史及理论副高职称老师有2-3位。高中级职称比例基本符合1:3.</w:t>
            </w:r>
          </w:p>
          <w:p>
            <w:pPr>
              <w:jc w:val="left"/>
              <w:textAlignment w:val="baseline"/>
              <w:rPr>
                <w:rFonts w:hint="eastAsia" w:ascii="仿宋_GB2312" w:hAnsi="仿宋_GB2312" w:eastAsia="仿宋_GB2312" w:cs="仿宋_GB2312"/>
                <w:bCs/>
                <w:color w:val="000000"/>
                <w:kern w:val="0"/>
                <w:sz w:val="24"/>
                <w:szCs w:val="24"/>
                <w:lang w:bidi="ar"/>
              </w:rPr>
            </w:pPr>
          </w:p>
        </w:tc>
        <w:tc>
          <w:tcPr>
            <w:tcW w:w="2846" w:type="dxa"/>
            <w:noWrap w:val="0"/>
            <w:vAlign w:val="center"/>
          </w:tcPr>
          <w:p>
            <w:pPr>
              <w:jc w:val="left"/>
              <w:textAlignment w:val="baseline"/>
              <w:rPr>
                <w:rFonts w:hint="eastAsia" w:ascii="仿宋_GB2312" w:hAnsi="仿宋_GB2312" w:eastAsia="仿宋_GB2312" w:cs="仿宋_GB2312"/>
                <w:bCs/>
                <w:color w:val="000000"/>
                <w:kern w:val="0"/>
                <w:sz w:val="24"/>
                <w:szCs w:val="24"/>
                <w:lang w:bidi="ar"/>
              </w:rPr>
            </w:pPr>
            <w:r>
              <w:rPr>
                <w:rFonts w:hint="eastAsia" w:ascii="仿宋_GB2312" w:hAnsi="仿宋_GB2312" w:eastAsia="仿宋_GB2312" w:cs="仿宋_GB2312"/>
                <w:bCs/>
                <w:color w:val="000000"/>
                <w:kern w:val="0"/>
                <w:sz w:val="24"/>
                <w:szCs w:val="24"/>
                <w:lang w:bidi="ar"/>
              </w:rPr>
              <w:t>专任教师不少于 15 人;每个领域至少具备 3 个主干专业方 向指导教师不少于 9 人(包括本校在编和外聘，以下统称“导师”，承担同等责任)，每个方向 至少 3 人;外聘导师不多于 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9" w:hRule="atLeast"/>
        </w:trPr>
        <w:tc>
          <w:tcPr>
            <w:tcW w:w="1124" w:type="dxa"/>
            <w:vMerge w:val="continue"/>
            <w:noWrap w:val="0"/>
            <w:vAlign w:val="center"/>
          </w:tcPr>
          <w:p>
            <w:pPr>
              <w:jc w:val="left"/>
              <w:rPr>
                <w:rFonts w:hint="eastAsia" w:ascii="仿宋_GB2312" w:hAnsi="仿宋_GB2312" w:eastAsia="仿宋_GB2312" w:cs="仿宋_GB2312"/>
                <w:bCs/>
                <w:color w:val="000000"/>
                <w:sz w:val="24"/>
                <w:szCs w:val="24"/>
              </w:rPr>
            </w:pPr>
          </w:p>
        </w:tc>
        <w:tc>
          <w:tcPr>
            <w:tcW w:w="1852" w:type="dxa"/>
            <w:noWrap w:val="0"/>
            <w:vAlign w:val="center"/>
          </w:tcPr>
          <w:p>
            <w:pPr>
              <w:widowControl/>
              <w:jc w:val="left"/>
              <w:textAlignment w:val="center"/>
              <w:rPr>
                <w:rFonts w:hint="eastAsia" w:ascii="仿宋_GB2312" w:hAnsi="仿宋_GB2312" w:eastAsia="仿宋_GB2312" w:cs="仿宋_GB2312"/>
                <w:bCs/>
                <w:color w:val="000000"/>
                <w:sz w:val="24"/>
                <w:szCs w:val="24"/>
              </w:rPr>
            </w:pPr>
            <w:r>
              <w:rPr>
                <w:rFonts w:hint="eastAsia" w:ascii="仿宋_GB2312" w:hAnsi="仿宋_GB2312" w:eastAsia="仿宋_GB2312" w:cs="仿宋_GB2312"/>
                <w:bCs/>
                <w:color w:val="000000"/>
                <w:kern w:val="0"/>
                <w:sz w:val="24"/>
                <w:szCs w:val="24"/>
                <w:lang w:bidi="ar"/>
              </w:rPr>
              <w:t>4.人员结构</w:t>
            </w:r>
          </w:p>
        </w:tc>
        <w:tc>
          <w:tcPr>
            <w:tcW w:w="2916" w:type="dxa"/>
            <w:noWrap w:val="0"/>
            <w:vAlign w:val="center"/>
          </w:tcPr>
          <w:p>
            <w:pPr>
              <w:jc w:val="left"/>
              <w:textAlignment w:val="baseline"/>
              <w:rPr>
                <w:rFonts w:hint="eastAsia" w:ascii="仿宋_GB2312" w:hAnsi="仿宋_GB2312" w:eastAsia="仿宋_GB2312" w:cs="仿宋_GB2312"/>
                <w:bCs/>
                <w:color w:val="000000"/>
                <w:kern w:val="0"/>
                <w:sz w:val="24"/>
                <w:szCs w:val="24"/>
                <w:lang w:bidi="ar"/>
              </w:rPr>
            </w:pPr>
            <w:r>
              <w:rPr>
                <w:rFonts w:hint="eastAsia" w:ascii="仿宋_GB2312" w:hAnsi="仿宋_GB2312" w:eastAsia="仿宋_GB2312" w:cs="仿宋_GB2312"/>
                <w:bCs/>
                <w:color w:val="000000"/>
                <w:kern w:val="0"/>
                <w:sz w:val="24"/>
                <w:szCs w:val="24"/>
                <w:lang w:bidi="ar"/>
              </w:rPr>
              <w:t>1、专职专任教师：43名，49.43%专职专任教师职称情况：教授5人，副教授4人，讲师16人，助教18人。（其中入职不满两年14名）。专职专任及特聘教师全部具备硕士研究生及以上学历，其中，博士6人。此外，22人为“双师型教师”。</w:t>
            </w:r>
          </w:p>
          <w:p>
            <w:pPr>
              <w:jc w:val="left"/>
              <w:textAlignment w:val="baseline"/>
              <w:rPr>
                <w:rFonts w:hint="eastAsia" w:ascii="仿宋_GB2312" w:hAnsi="仿宋_GB2312" w:eastAsia="仿宋_GB2312" w:cs="仿宋_GB2312"/>
                <w:bCs/>
                <w:color w:val="000000"/>
                <w:kern w:val="0"/>
                <w:sz w:val="24"/>
                <w:szCs w:val="24"/>
                <w:lang w:val="en-US" w:eastAsia="zh-CN" w:bidi="ar"/>
              </w:rPr>
            </w:pPr>
            <w:r>
              <w:rPr>
                <w:rFonts w:hint="eastAsia" w:ascii="仿宋_GB2312" w:hAnsi="仿宋_GB2312" w:eastAsia="仿宋_GB2312" w:cs="仿宋_GB2312"/>
                <w:bCs/>
                <w:color w:val="000000"/>
                <w:kern w:val="0"/>
                <w:sz w:val="24"/>
                <w:szCs w:val="24"/>
                <w:lang w:bidi="ar"/>
              </w:rPr>
              <w:t>2、兼职32名，36.78%，校企合作教师12名，13.79%：兼职及校企合作教师80%以上为“双师型”教师，其中副教授2名；企业兼职教师60%以上具备硕士研究生学历。</w:t>
            </w:r>
          </w:p>
        </w:tc>
        <w:tc>
          <w:tcPr>
            <w:tcW w:w="2846" w:type="dxa"/>
            <w:noWrap w:val="0"/>
            <w:vAlign w:val="center"/>
          </w:tcPr>
          <w:p>
            <w:pPr>
              <w:jc w:val="left"/>
              <w:textAlignment w:val="baseline"/>
              <w:rPr>
                <w:rFonts w:hint="eastAsia" w:ascii="仿宋_GB2312" w:hAnsi="仿宋_GB2312" w:eastAsia="仿宋_GB2312" w:cs="仿宋_GB2312"/>
                <w:bCs/>
                <w:color w:val="000000"/>
                <w:kern w:val="0"/>
                <w:sz w:val="24"/>
                <w:szCs w:val="24"/>
                <w:lang w:val="en-US" w:eastAsia="zh-CN" w:bidi="ar"/>
              </w:rPr>
            </w:pPr>
            <w:r>
              <w:rPr>
                <w:rFonts w:hint="eastAsia" w:ascii="仿宋_GB2312" w:hAnsi="仿宋_GB2312" w:eastAsia="仿宋_GB2312" w:cs="仿宋_GB2312"/>
                <w:bCs/>
                <w:color w:val="000000"/>
                <w:kern w:val="0"/>
                <w:sz w:val="24"/>
                <w:szCs w:val="24"/>
                <w:lang w:bidi="ar"/>
              </w:rPr>
              <w:t>专任教师中，45 岁以下不少于 1/3。导师须具备相关专业背景，具有丰富教学和实践经历，至少指导过 3 届相关专业方向的本科生，并有学生考上相关专业研究生或获得过创作、表演等奖项。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9" w:hRule="atLeast"/>
        </w:trPr>
        <w:tc>
          <w:tcPr>
            <w:tcW w:w="1124" w:type="dxa"/>
            <w:vMerge w:val="continue"/>
            <w:noWrap w:val="0"/>
            <w:vAlign w:val="center"/>
          </w:tcPr>
          <w:p>
            <w:pPr>
              <w:jc w:val="left"/>
              <w:rPr>
                <w:rFonts w:hint="eastAsia" w:ascii="仿宋_GB2312" w:hAnsi="仿宋_GB2312" w:eastAsia="仿宋_GB2312" w:cs="仿宋_GB2312"/>
                <w:bCs/>
                <w:color w:val="000000"/>
                <w:sz w:val="24"/>
                <w:szCs w:val="24"/>
              </w:rPr>
            </w:pPr>
          </w:p>
        </w:tc>
        <w:tc>
          <w:tcPr>
            <w:tcW w:w="1852" w:type="dxa"/>
            <w:noWrap w:val="0"/>
            <w:vAlign w:val="center"/>
          </w:tcPr>
          <w:p>
            <w:pPr>
              <w:widowControl/>
              <w:jc w:val="left"/>
              <w:textAlignment w:val="center"/>
              <w:rPr>
                <w:rFonts w:hint="eastAsia" w:ascii="仿宋_GB2312" w:hAnsi="仿宋_GB2312" w:eastAsia="仿宋_GB2312" w:cs="仿宋_GB2312"/>
                <w:bCs/>
                <w:color w:val="000000"/>
                <w:sz w:val="24"/>
                <w:szCs w:val="24"/>
              </w:rPr>
            </w:pPr>
            <w:r>
              <w:rPr>
                <w:rFonts w:hint="eastAsia" w:ascii="仿宋_GB2312" w:hAnsi="仿宋_GB2312" w:eastAsia="仿宋_GB2312" w:cs="仿宋_GB2312"/>
                <w:bCs/>
                <w:color w:val="000000"/>
                <w:kern w:val="0"/>
                <w:sz w:val="24"/>
                <w:szCs w:val="24"/>
                <w:lang w:bidi="ar"/>
              </w:rPr>
              <w:t>5.学科带头人与学术骨干</w:t>
            </w:r>
          </w:p>
        </w:tc>
        <w:tc>
          <w:tcPr>
            <w:tcW w:w="2916" w:type="dxa"/>
            <w:noWrap w:val="0"/>
            <w:vAlign w:val="center"/>
          </w:tcPr>
          <w:p>
            <w:pPr>
              <w:jc w:val="left"/>
              <w:textAlignment w:val="baseline"/>
              <w:rPr>
                <w:rFonts w:hint="eastAsia" w:ascii="仿宋_GB2312" w:hAnsi="仿宋_GB2312" w:eastAsia="仿宋_GB2312" w:cs="仿宋_GB2312"/>
                <w:bCs/>
                <w:color w:val="000000"/>
                <w:kern w:val="0"/>
                <w:sz w:val="24"/>
                <w:szCs w:val="24"/>
                <w:lang w:bidi="ar"/>
              </w:rPr>
            </w:pPr>
            <w:r>
              <w:rPr>
                <w:rFonts w:hint="eastAsia" w:ascii="仿宋_GB2312" w:hAnsi="仿宋_GB2312" w:eastAsia="仿宋_GB2312" w:cs="仿宋_GB2312"/>
                <w:bCs/>
                <w:color w:val="000000"/>
                <w:kern w:val="0"/>
                <w:sz w:val="24"/>
                <w:szCs w:val="24"/>
                <w:lang w:bidi="ar"/>
              </w:rPr>
              <w:t>学科带头人和骨干教师，均承担或完成了1项以上省部级科研项目，并发表过高水平学术论文。均指导过3届以上本科毕业生，学科带头人担任硕士导师。</w:t>
            </w:r>
          </w:p>
        </w:tc>
        <w:tc>
          <w:tcPr>
            <w:tcW w:w="2846" w:type="dxa"/>
            <w:noWrap w:val="0"/>
            <w:vAlign w:val="center"/>
          </w:tcPr>
          <w:p>
            <w:pPr>
              <w:jc w:val="left"/>
              <w:textAlignment w:val="baseline"/>
              <w:rPr>
                <w:rFonts w:hint="eastAsia" w:ascii="仿宋_GB2312" w:hAnsi="仿宋_GB2312" w:eastAsia="仿宋_GB2312" w:cs="仿宋_GB2312"/>
                <w:bCs/>
                <w:color w:val="000000"/>
                <w:kern w:val="0"/>
                <w:sz w:val="24"/>
                <w:szCs w:val="24"/>
                <w:lang w:bidi="ar"/>
              </w:rPr>
            </w:pPr>
            <w:r>
              <w:rPr>
                <w:rFonts w:hint="eastAsia" w:ascii="仿宋_GB2312" w:hAnsi="仿宋_GB2312" w:eastAsia="仿宋_GB2312" w:cs="仿宋_GB2312"/>
                <w:bCs/>
                <w:color w:val="000000"/>
                <w:kern w:val="0"/>
                <w:sz w:val="24"/>
                <w:szCs w:val="24"/>
                <w:lang w:bidi="ar"/>
              </w:rPr>
              <w:t>各专业方向培育1名以上专业带头人和 2名以上骨干教师。</w:t>
            </w:r>
          </w:p>
          <w:p>
            <w:pPr>
              <w:jc w:val="left"/>
              <w:textAlignment w:val="baseline"/>
              <w:rPr>
                <w:rFonts w:hint="eastAsia" w:ascii="仿宋_GB2312" w:hAnsi="仿宋_GB2312" w:eastAsia="仿宋_GB2312" w:cs="仿宋_GB2312"/>
                <w:bCs/>
                <w:color w:val="000000"/>
                <w:kern w:val="0"/>
                <w:sz w:val="24"/>
                <w:szCs w:val="24"/>
                <w:lang w:val="en-US" w:eastAsia="zh-CN" w:bidi="ar"/>
              </w:rPr>
            </w:pPr>
            <w:r>
              <w:rPr>
                <w:rFonts w:hint="eastAsia" w:ascii="仿宋_GB2312" w:hAnsi="仿宋_GB2312" w:eastAsia="仿宋_GB2312" w:cs="仿宋_GB2312"/>
                <w:bCs/>
                <w:color w:val="000000"/>
                <w:kern w:val="0"/>
                <w:sz w:val="24"/>
                <w:szCs w:val="24"/>
                <w:lang w:bidi="ar"/>
              </w:rPr>
              <w:t>分别为教授和副教授。具有丰富的教学经验、较强的专业实践能力、研究能力和理论水平。近 10 年，带头人主持过 2 项及以上省部级创作实践项目或实践教研类项目；骨干教师主持过 1 项及以上省部级创作实践或实践教研类项目。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9" w:hRule="atLeast"/>
        </w:trPr>
        <w:tc>
          <w:tcPr>
            <w:tcW w:w="1124" w:type="dxa"/>
            <w:vMerge w:val="restart"/>
            <w:noWrap w:val="0"/>
            <w:vAlign w:val="center"/>
          </w:tcPr>
          <w:p>
            <w:pPr>
              <w:widowControl/>
              <w:jc w:val="left"/>
              <w:textAlignment w:val="center"/>
              <w:rPr>
                <w:rFonts w:hint="eastAsia" w:ascii="仿宋_GB2312" w:hAnsi="仿宋_GB2312" w:eastAsia="仿宋_GB2312" w:cs="仿宋_GB2312"/>
                <w:bCs/>
                <w:color w:val="000000"/>
                <w:sz w:val="24"/>
                <w:szCs w:val="24"/>
              </w:rPr>
            </w:pPr>
            <w:r>
              <w:rPr>
                <w:rFonts w:hint="eastAsia" w:ascii="仿宋_GB2312" w:hAnsi="仿宋_GB2312" w:eastAsia="仿宋_GB2312" w:cs="仿宋_GB2312"/>
                <w:bCs/>
                <w:color w:val="000000"/>
                <w:kern w:val="0"/>
                <w:sz w:val="24"/>
                <w:szCs w:val="24"/>
                <w:lang w:bidi="ar"/>
              </w:rPr>
              <w:t>三、人才培养</w:t>
            </w:r>
          </w:p>
        </w:tc>
        <w:tc>
          <w:tcPr>
            <w:tcW w:w="1852" w:type="dxa"/>
            <w:noWrap w:val="0"/>
            <w:vAlign w:val="center"/>
          </w:tcPr>
          <w:p>
            <w:pPr>
              <w:widowControl/>
              <w:jc w:val="left"/>
              <w:textAlignment w:val="center"/>
              <w:rPr>
                <w:rFonts w:hint="eastAsia" w:ascii="仿宋_GB2312" w:hAnsi="仿宋_GB2312" w:eastAsia="仿宋_GB2312" w:cs="仿宋_GB2312"/>
                <w:bCs/>
                <w:color w:val="000000"/>
                <w:sz w:val="24"/>
                <w:szCs w:val="24"/>
              </w:rPr>
            </w:pPr>
            <w:r>
              <w:rPr>
                <w:rFonts w:hint="eastAsia" w:ascii="仿宋_GB2312" w:hAnsi="仿宋_GB2312" w:eastAsia="仿宋_GB2312" w:cs="仿宋_GB2312"/>
                <w:bCs/>
                <w:color w:val="000000"/>
                <w:kern w:val="0"/>
                <w:sz w:val="24"/>
                <w:szCs w:val="24"/>
                <w:lang w:bidi="ar"/>
              </w:rPr>
              <w:t>6.培养概况</w:t>
            </w:r>
          </w:p>
        </w:tc>
        <w:tc>
          <w:tcPr>
            <w:tcW w:w="2916" w:type="dxa"/>
            <w:noWrap w:val="0"/>
            <w:vAlign w:val="center"/>
          </w:tcPr>
          <w:p>
            <w:pPr>
              <w:jc w:val="left"/>
              <w:textAlignment w:val="baseline"/>
              <w:rPr>
                <w:rFonts w:hint="eastAsia" w:ascii="仿宋_GB2312" w:hAnsi="仿宋_GB2312" w:eastAsia="仿宋_GB2312" w:cs="仿宋_GB2312"/>
                <w:bCs/>
                <w:color w:val="000000"/>
                <w:kern w:val="0"/>
                <w:sz w:val="24"/>
                <w:szCs w:val="24"/>
                <w:lang w:bidi="ar"/>
              </w:rPr>
            </w:pPr>
            <w:r>
              <w:rPr>
                <w:rFonts w:hint="eastAsia" w:ascii="仿宋_GB2312" w:hAnsi="仿宋_GB2312" w:eastAsia="仿宋_GB2312" w:cs="仿宋_GB2312"/>
                <w:bCs/>
                <w:color w:val="000000"/>
                <w:kern w:val="0"/>
                <w:sz w:val="24"/>
                <w:szCs w:val="24"/>
                <w:lang w:bidi="ar"/>
              </w:rPr>
              <w:t>专业于2012年开设并招生。修业年限：四年，授予艺术学士学位。</w:t>
            </w:r>
          </w:p>
        </w:tc>
        <w:tc>
          <w:tcPr>
            <w:tcW w:w="2846" w:type="dxa"/>
            <w:noWrap w:val="0"/>
            <w:vAlign w:val="center"/>
          </w:tcPr>
          <w:p>
            <w:pPr>
              <w:jc w:val="left"/>
              <w:textAlignment w:val="baseline"/>
              <w:rPr>
                <w:rFonts w:hint="eastAsia" w:ascii="仿宋_GB2312" w:hAnsi="仿宋_GB2312" w:eastAsia="仿宋_GB2312" w:cs="仿宋_GB2312"/>
                <w:bCs/>
                <w:color w:val="000000"/>
                <w:kern w:val="0"/>
                <w:sz w:val="24"/>
                <w:szCs w:val="24"/>
                <w:lang w:val="en-US" w:eastAsia="zh-CN" w:bidi="ar"/>
              </w:rPr>
            </w:pPr>
            <w:r>
              <w:rPr>
                <w:rFonts w:hint="eastAsia" w:ascii="仿宋_GB2312" w:hAnsi="仿宋_GB2312" w:eastAsia="仿宋_GB2312" w:cs="仿宋_GB2312"/>
                <w:bCs/>
                <w:color w:val="000000"/>
                <w:kern w:val="0"/>
                <w:sz w:val="24"/>
                <w:szCs w:val="24"/>
                <w:lang w:bidi="ar"/>
              </w:rPr>
              <w:t>修业年限二年半，授予艺术硕士专业学位。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9" w:hRule="atLeast"/>
        </w:trPr>
        <w:tc>
          <w:tcPr>
            <w:tcW w:w="1124" w:type="dxa"/>
            <w:vMerge w:val="continue"/>
            <w:noWrap w:val="0"/>
            <w:vAlign w:val="center"/>
          </w:tcPr>
          <w:p>
            <w:pPr>
              <w:jc w:val="left"/>
              <w:rPr>
                <w:rFonts w:hint="eastAsia" w:ascii="仿宋_GB2312" w:hAnsi="仿宋_GB2312" w:eastAsia="仿宋_GB2312" w:cs="仿宋_GB2312"/>
                <w:bCs/>
                <w:color w:val="000000"/>
                <w:sz w:val="24"/>
                <w:szCs w:val="24"/>
              </w:rPr>
            </w:pPr>
          </w:p>
        </w:tc>
        <w:tc>
          <w:tcPr>
            <w:tcW w:w="1852" w:type="dxa"/>
            <w:noWrap w:val="0"/>
            <w:vAlign w:val="center"/>
          </w:tcPr>
          <w:p>
            <w:pPr>
              <w:widowControl/>
              <w:jc w:val="left"/>
              <w:textAlignment w:val="center"/>
              <w:rPr>
                <w:rFonts w:hint="eastAsia" w:ascii="仿宋_GB2312" w:hAnsi="仿宋_GB2312" w:eastAsia="仿宋_GB2312" w:cs="仿宋_GB2312"/>
                <w:bCs/>
                <w:color w:val="000000"/>
                <w:sz w:val="24"/>
                <w:szCs w:val="24"/>
              </w:rPr>
            </w:pPr>
            <w:r>
              <w:rPr>
                <w:rFonts w:hint="eastAsia" w:ascii="仿宋_GB2312" w:hAnsi="仿宋_GB2312" w:eastAsia="仿宋_GB2312" w:cs="仿宋_GB2312"/>
                <w:bCs/>
                <w:color w:val="000000"/>
                <w:kern w:val="0"/>
                <w:sz w:val="24"/>
                <w:szCs w:val="24"/>
                <w:lang w:bidi="ar"/>
              </w:rPr>
              <w:t>7.课程与教学</w:t>
            </w:r>
          </w:p>
        </w:tc>
        <w:tc>
          <w:tcPr>
            <w:tcW w:w="2916" w:type="dxa"/>
            <w:noWrap w:val="0"/>
            <w:vAlign w:val="center"/>
          </w:tcPr>
          <w:p>
            <w:pPr>
              <w:jc w:val="left"/>
              <w:textAlignment w:val="baseline"/>
              <w:rPr>
                <w:rFonts w:hint="eastAsia" w:ascii="仿宋_GB2312" w:hAnsi="仿宋_GB2312" w:eastAsia="仿宋_GB2312" w:cs="仿宋_GB2312"/>
                <w:bCs/>
                <w:color w:val="000000"/>
                <w:kern w:val="0"/>
                <w:sz w:val="24"/>
                <w:szCs w:val="24"/>
                <w:lang w:bidi="ar"/>
              </w:rPr>
            </w:pPr>
            <w:r>
              <w:rPr>
                <w:rFonts w:hint="eastAsia" w:ascii="仿宋_GB2312" w:hAnsi="仿宋_GB2312" w:eastAsia="仿宋_GB2312" w:cs="仿宋_GB2312"/>
                <w:bCs/>
                <w:color w:val="000000"/>
                <w:kern w:val="0"/>
                <w:sz w:val="24"/>
                <w:szCs w:val="24"/>
                <w:lang w:bidi="ar"/>
              </w:rPr>
              <w:t>具备完整的本科生人才培养经验、高质量的本科生专业核心课程。课程体系的设置沿袭自艺术设计学科。在行业细分发展的现状下，强调在地社会实践，以服务区域（崇明）经济构建学院特色资源，对传统文化资源进行现代转化，推进教学成果进社区，形成以作品制带动校企合作的课程体系。加强专业实践教学平台建设，以参与真实的艺术实践项目带动教学，形成数字媒体艺术专业的基础实验教学、实训课程、专业实习和毕业创作的应用型人才培养特色，形成培养学生具有创新意识、交叉融合思维和实际操作能力的实验、实训教学评价体系</w:t>
            </w:r>
          </w:p>
        </w:tc>
        <w:tc>
          <w:tcPr>
            <w:tcW w:w="2846" w:type="dxa"/>
            <w:noWrap w:val="0"/>
            <w:vAlign w:val="center"/>
          </w:tcPr>
          <w:p>
            <w:pPr>
              <w:jc w:val="left"/>
              <w:textAlignment w:val="baseline"/>
              <w:rPr>
                <w:rFonts w:hint="eastAsia" w:ascii="仿宋_GB2312" w:hAnsi="仿宋_GB2312" w:eastAsia="仿宋_GB2312" w:cs="仿宋_GB2312"/>
                <w:bCs/>
                <w:color w:val="000000"/>
                <w:kern w:val="0"/>
                <w:sz w:val="24"/>
                <w:szCs w:val="24"/>
                <w:lang w:val="en-US" w:eastAsia="zh-CN" w:bidi="ar"/>
              </w:rPr>
            </w:pPr>
            <w:r>
              <w:rPr>
                <w:rFonts w:hint="eastAsia" w:ascii="仿宋_GB2312" w:hAnsi="仿宋_GB2312" w:eastAsia="仿宋_GB2312" w:cs="仿宋_GB2312"/>
                <w:bCs/>
                <w:color w:val="000000"/>
                <w:kern w:val="0"/>
                <w:sz w:val="24"/>
                <w:szCs w:val="24"/>
                <w:lang w:bidi="ar"/>
              </w:rPr>
              <w:t>根据《艺术硕士专业学位研究生指导性培养方案》的要求，以体现专业学位研究生教育规律的办学理念为指导，确立适应经济社会发展需要、符合职业导向的高层次应用型人才培养目标，人才培养体现行业针对性，制定科学合理的培养方案和完善的课程体系(含专业基础课、专业核心课、实践课、实习环节)，能采用科学合理的方式教学，具有完整 的课程教学管理、考核和评价体系。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9" w:hRule="atLeast"/>
        </w:trPr>
        <w:tc>
          <w:tcPr>
            <w:tcW w:w="1124" w:type="dxa"/>
            <w:vMerge w:val="continue"/>
            <w:noWrap w:val="0"/>
            <w:vAlign w:val="center"/>
          </w:tcPr>
          <w:p>
            <w:pPr>
              <w:jc w:val="left"/>
              <w:rPr>
                <w:rFonts w:hint="eastAsia" w:ascii="仿宋_GB2312" w:hAnsi="仿宋_GB2312" w:eastAsia="仿宋_GB2312" w:cs="仿宋_GB2312"/>
                <w:bCs/>
                <w:color w:val="000000"/>
                <w:sz w:val="24"/>
                <w:szCs w:val="24"/>
              </w:rPr>
            </w:pPr>
          </w:p>
        </w:tc>
        <w:tc>
          <w:tcPr>
            <w:tcW w:w="1852" w:type="dxa"/>
            <w:noWrap w:val="0"/>
            <w:vAlign w:val="center"/>
          </w:tcPr>
          <w:p>
            <w:pPr>
              <w:widowControl/>
              <w:jc w:val="left"/>
              <w:textAlignment w:val="center"/>
              <w:rPr>
                <w:rFonts w:hint="eastAsia" w:ascii="仿宋_GB2312" w:hAnsi="仿宋_GB2312" w:eastAsia="仿宋_GB2312" w:cs="仿宋_GB2312"/>
                <w:bCs/>
                <w:color w:val="000000"/>
                <w:sz w:val="24"/>
                <w:szCs w:val="24"/>
              </w:rPr>
            </w:pPr>
            <w:r>
              <w:rPr>
                <w:rFonts w:hint="eastAsia" w:ascii="仿宋_GB2312" w:hAnsi="仿宋_GB2312" w:eastAsia="仿宋_GB2312" w:cs="仿宋_GB2312"/>
                <w:bCs/>
                <w:color w:val="000000"/>
                <w:kern w:val="0"/>
                <w:sz w:val="24"/>
                <w:szCs w:val="24"/>
                <w:lang w:bidi="ar"/>
              </w:rPr>
              <w:t>8.培养质量</w:t>
            </w:r>
          </w:p>
        </w:tc>
        <w:tc>
          <w:tcPr>
            <w:tcW w:w="2916" w:type="dxa"/>
            <w:noWrap w:val="0"/>
            <w:vAlign w:val="center"/>
          </w:tcPr>
          <w:p>
            <w:pPr>
              <w:jc w:val="left"/>
              <w:textAlignment w:val="baseline"/>
              <w:rPr>
                <w:rFonts w:hint="eastAsia" w:ascii="仿宋_GB2312" w:hAnsi="仿宋_GB2312" w:eastAsia="仿宋_GB2312" w:cs="仿宋_GB2312"/>
                <w:bCs/>
                <w:color w:val="000000"/>
                <w:kern w:val="0"/>
                <w:sz w:val="24"/>
                <w:szCs w:val="24"/>
                <w:lang w:bidi="ar"/>
              </w:rPr>
            </w:pPr>
            <w:r>
              <w:rPr>
                <w:rFonts w:hint="eastAsia" w:ascii="仿宋_GB2312" w:hAnsi="仿宋_GB2312" w:eastAsia="仿宋_GB2312" w:cs="仿宋_GB2312"/>
                <w:bCs/>
                <w:color w:val="000000"/>
                <w:kern w:val="0"/>
                <w:sz w:val="24"/>
                <w:szCs w:val="24"/>
                <w:lang w:bidi="ar"/>
              </w:rPr>
              <w:t>专业就业率近三年来在80%以上，21年为94.3%。学校提倡“以赛促学、作品产品化”的教学评价思路。大力支持和鼓励学生参加国家、省部级专业赛事。在“以赛促学”的思想指导下，鼓励学生参加“汇创青春、国青杯艺术设计大赛、全国高校数字艺术设计大赛、中国大学生创意节等艺术类专业赛事，艺术实践能力提高显著。仅2020-2021年度获得各类奖项共计136项。</w:t>
            </w:r>
          </w:p>
          <w:p>
            <w:pPr>
              <w:jc w:val="left"/>
              <w:textAlignment w:val="baseline"/>
              <w:rPr>
                <w:rFonts w:hint="eastAsia" w:ascii="仿宋_GB2312" w:hAnsi="仿宋_GB2312" w:eastAsia="仿宋_GB2312" w:cs="仿宋_GB2312"/>
                <w:bCs/>
                <w:color w:val="000000"/>
                <w:kern w:val="0"/>
                <w:sz w:val="24"/>
                <w:szCs w:val="24"/>
                <w:lang w:bidi="ar"/>
              </w:rPr>
            </w:pPr>
            <w:r>
              <w:rPr>
                <w:rFonts w:hint="eastAsia" w:ascii="仿宋_GB2312" w:hAnsi="仿宋_GB2312" w:eastAsia="仿宋_GB2312" w:cs="仿宋_GB2312"/>
                <w:bCs/>
                <w:color w:val="000000"/>
                <w:kern w:val="0"/>
                <w:sz w:val="24"/>
                <w:szCs w:val="24"/>
                <w:lang w:bidi="ar"/>
              </w:rPr>
              <w:t>上外贤达学院毕业生就业质量报告中主要用人单位的毕业生跟踪调查数据显示，近八成用人单位明确表示对上外贤达学院毕业生的道德品行、职业素养、工作态度等方面的表现比较满意。</w:t>
            </w:r>
          </w:p>
        </w:tc>
        <w:tc>
          <w:tcPr>
            <w:tcW w:w="2846" w:type="dxa"/>
            <w:noWrap w:val="0"/>
            <w:vAlign w:val="center"/>
          </w:tcPr>
          <w:p>
            <w:pPr>
              <w:jc w:val="left"/>
              <w:textAlignment w:val="baseline"/>
              <w:rPr>
                <w:rFonts w:hint="eastAsia" w:ascii="仿宋_GB2312" w:hAnsi="仿宋_GB2312" w:eastAsia="仿宋_GB2312" w:cs="仿宋_GB2312"/>
                <w:bCs/>
                <w:color w:val="000000"/>
                <w:kern w:val="0"/>
                <w:sz w:val="24"/>
                <w:szCs w:val="24"/>
                <w:lang w:bidi="ar"/>
              </w:rPr>
            </w:pPr>
            <w:r>
              <w:rPr>
                <w:rFonts w:hint="eastAsia" w:ascii="仿宋_GB2312" w:hAnsi="仿宋_GB2312" w:eastAsia="仿宋_GB2312" w:cs="仿宋_GB2312"/>
                <w:bCs/>
                <w:color w:val="000000"/>
                <w:kern w:val="0"/>
                <w:sz w:val="24"/>
                <w:szCs w:val="24"/>
                <w:lang w:bidi="ar"/>
              </w:rPr>
              <w:t xml:space="preserve">鼓励和帮助学生创业；鼓励本科毕业生继续攻读国内外硕士学位；给予具有能全面开展专业实践教学、培养专业实践能力的场地和设施，让学生拥有参与优秀作品参展、参演的平台；并能够为专业学位研究生完成学位论文提供条件。毕业生的专业能力强、 职业素质高，毕业去向良好，得到用人单位好评。一定数量的本科生升学情况良好。  </w:t>
            </w:r>
          </w:p>
          <w:p>
            <w:pPr>
              <w:jc w:val="left"/>
              <w:textAlignment w:val="baseline"/>
              <w:rPr>
                <w:rFonts w:hint="eastAsia" w:ascii="仿宋_GB2312" w:hAnsi="仿宋_GB2312" w:eastAsia="仿宋_GB2312" w:cs="仿宋_GB2312"/>
                <w:bCs/>
                <w:color w:val="000000"/>
                <w:kern w:val="0"/>
                <w:sz w:val="24"/>
                <w:szCs w:val="24"/>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9" w:hRule="atLeast"/>
        </w:trPr>
        <w:tc>
          <w:tcPr>
            <w:tcW w:w="1124" w:type="dxa"/>
            <w:vMerge w:val="restart"/>
            <w:noWrap w:val="0"/>
            <w:vAlign w:val="center"/>
          </w:tcPr>
          <w:p>
            <w:pPr>
              <w:widowControl/>
              <w:jc w:val="left"/>
              <w:textAlignment w:val="center"/>
              <w:rPr>
                <w:rFonts w:hint="eastAsia" w:ascii="仿宋_GB2312" w:hAnsi="仿宋_GB2312" w:eastAsia="仿宋_GB2312" w:cs="仿宋_GB2312"/>
                <w:bCs/>
                <w:color w:val="000000"/>
                <w:sz w:val="24"/>
                <w:szCs w:val="24"/>
              </w:rPr>
            </w:pPr>
            <w:r>
              <w:rPr>
                <w:rFonts w:hint="eastAsia" w:ascii="仿宋_GB2312" w:hAnsi="仿宋_GB2312" w:eastAsia="仿宋_GB2312" w:cs="仿宋_GB2312"/>
                <w:bCs/>
                <w:color w:val="000000"/>
                <w:kern w:val="0"/>
                <w:sz w:val="24"/>
                <w:szCs w:val="24"/>
                <w:lang w:bidi="ar"/>
              </w:rPr>
              <w:t>四、培养环境与条件</w:t>
            </w:r>
          </w:p>
        </w:tc>
        <w:tc>
          <w:tcPr>
            <w:tcW w:w="1852" w:type="dxa"/>
            <w:noWrap w:val="0"/>
            <w:vAlign w:val="center"/>
          </w:tcPr>
          <w:p>
            <w:pPr>
              <w:widowControl/>
              <w:jc w:val="left"/>
              <w:textAlignment w:val="center"/>
              <w:rPr>
                <w:rFonts w:hint="eastAsia" w:ascii="仿宋_GB2312" w:hAnsi="仿宋_GB2312" w:eastAsia="仿宋_GB2312" w:cs="仿宋_GB2312"/>
                <w:bCs/>
                <w:color w:val="000000"/>
                <w:sz w:val="24"/>
                <w:szCs w:val="24"/>
              </w:rPr>
            </w:pPr>
            <w:r>
              <w:rPr>
                <w:rFonts w:hint="eastAsia" w:ascii="仿宋_GB2312" w:hAnsi="仿宋_GB2312" w:eastAsia="仿宋_GB2312" w:cs="仿宋_GB2312"/>
                <w:bCs/>
                <w:color w:val="000000"/>
                <w:kern w:val="0"/>
                <w:sz w:val="24"/>
                <w:szCs w:val="24"/>
                <w:lang w:bidi="ar"/>
              </w:rPr>
              <w:t>9.科学研究</w:t>
            </w:r>
          </w:p>
        </w:tc>
        <w:tc>
          <w:tcPr>
            <w:tcW w:w="2916" w:type="dxa"/>
            <w:noWrap w:val="0"/>
            <w:vAlign w:val="center"/>
          </w:tcPr>
          <w:p>
            <w:pPr>
              <w:jc w:val="left"/>
              <w:textAlignment w:val="baseline"/>
              <w:rPr>
                <w:rFonts w:hint="eastAsia" w:ascii="仿宋_GB2312" w:hAnsi="仿宋_GB2312" w:eastAsia="仿宋_GB2312" w:cs="仿宋_GB2312"/>
                <w:bCs/>
                <w:color w:val="000000"/>
                <w:kern w:val="0"/>
                <w:sz w:val="24"/>
                <w:szCs w:val="24"/>
                <w:lang w:bidi="ar"/>
              </w:rPr>
            </w:pPr>
            <w:r>
              <w:rPr>
                <w:rFonts w:hint="eastAsia" w:ascii="仿宋_GB2312" w:hAnsi="仿宋_GB2312" w:eastAsia="仿宋_GB2312" w:cs="仿宋_GB2312"/>
                <w:bCs/>
                <w:color w:val="000000"/>
                <w:kern w:val="0"/>
                <w:sz w:val="24"/>
                <w:szCs w:val="24"/>
                <w:lang w:bidi="ar"/>
              </w:rPr>
              <w:t>近 5 年，专职专任教师主持省、市级及以上科研项目有5项以上。获得省、市级以上科研奖励有2 项以上；每年人均科研经费不低于0.4万元。</w:t>
            </w:r>
          </w:p>
        </w:tc>
        <w:tc>
          <w:tcPr>
            <w:tcW w:w="2846" w:type="dxa"/>
            <w:noWrap w:val="0"/>
            <w:vAlign w:val="center"/>
          </w:tcPr>
          <w:p>
            <w:pPr>
              <w:jc w:val="left"/>
              <w:textAlignment w:val="baseline"/>
              <w:rPr>
                <w:rFonts w:hint="eastAsia" w:ascii="仿宋_GB2312" w:hAnsi="仿宋_GB2312" w:eastAsia="仿宋_GB2312" w:cs="仿宋_GB2312"/>
                <w:bCs/>
                <w:color w:val="000000"/>
                <w:kern w:val="0"/>
                <w:sz w:val="24"/>
                <w:szCs w:val="24"/>
                <w:lang w:bidi="ar"/>
              </w:rPr>
            </w:pPr>
            <w:r>
              <w:rPr>
                <w:rFonts w:hint="eastAsia" w:ascii="仿宋_GB2312" w:hAnsi="仿宋_GB2312" w:eastAsia="仿宋_GB2312" w:cs="仿宋_GB2312"/>
                <w:bCs/>
                <w:color w:val="000000"/>
                <w:kern w:val="0"/>
                <w:sz w:val="24"/>
                <w:szCs w:val="24"/>
                <w:lang w:bidi="ar"/>
              </w:rPr>
              <w:t>代表性专业论文10--15篇，专业著作（教材）1-2部；科研项目（横向与纵向）5-8项；设计专利与课程研发等在内的成果到10-15项（篇）；设计创作10-15余项，省部级及以上设计作品获奖等10-15项。</w:t>
            </w:r>
          </w:p>
          <w:p>
            <w:pPr>
              <w:jc w:val="left"/>
              <w:textAlignment w:val="baseline"/>
              <w:rPr>
                <w:rFonts w:hint="eastAsia" w:ascii="仿宋_GB2312" w:hAnsi="仿宋_GB2312" w:eastAsia="仿宋_GB2312" w:cs="仿宋_GB2312"/>
                <w:bCs/>
                <w:color w:val="000000"/>
                <w:kern w:val="0"/>
                <w:sz w:val="24"/>
                <w:szCs w:val="24"/>
                <w:lang w:val="en-US" w:eastAsia="zh-CN" w:bidi="ar"/>
              </w:rPr>
            </w:pPr>
            <w:r>
              <w:rPr>
                <w:rFonts w:hint="eastAsia" w:ascii="仿宋_GB2312" w:hAnsi="仿宋_GB2312" w:eastAsia="仿宋_GB2312" w:cs="仿宋_GB2312"/>
                <w:bCs/>
                <w:color w:val="000000"/>
                <w:kern w:val="0"/>
                <w:sz w:val="24"/>
                <w:szCs w:val="24"/>
                <w:lang w:bidi="ar"/>
              </w:rPr>
              <w:t>教师年人均科研经费不低于1万元。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9" w:hRule="atLeast"/>
        </w:trPr>
        <w:tc>
          <w:tcPr>
            <w:tcW w:w="1124" w:type="dxa"/>
            <w:vMerge w:val="continue"/>
            <w:noWrap w:val="0"/>
            <w:vAlign w:val="center"/>
          </w:tcPr>
          <w:p>
            <w:pPr>
              <w:jc w:val="left"/>
              <w:rPr>
                <w:rFonts w:hint="eastAsia" w:ascii="仿宋_GB2312" w:hAnsi="仿宋_GB2312" w:eastAsia="仿宋_GB2312" w:cs="仿宋_GB2312"/>
                <w:bCs/>
                <w:color w:val="000000"/>
                <w:sz w:val="24"/>
                <w:szCs w:val="24"/>
              </w:rPr>
            </w:pPr>
          </w:p>
        </w:tc>
        <w:tc>
          <w:tcPr>
            <w:tcW w:w="1852" w:type="dxa"/>
            <w:noWrap w:val="0"/>
            <w:vAlign w:val="center"/>
          </w:tcPr>
          <w:p>
            <w:pPr>
              <w:widowControl/>
              <w:jc w:val="left"/>
              <w:textAlignment w:val="center"/>
              <w:rPr>
                <w:rFonts w:hint="eastAsia" w:ascii="仿宋_GB2312" w:hAnsi="仿宋_GB2312" w:eastAsia="仿宋_GB2312" w:cs="仿宋_GB2312"/>
                <w:bCs/>
                <w:color w:val="000000"/>
                <w:sz w:val="24"/>
                <w:szCs w:val="24"/>
              </w:rPr>
            </w:pPr>
            <w:r>
              <w:rPr>
                <w:rFonts w:hint="eastAsia" w:ascii="仿宋_GB2312" w:hAnsi="仿宋_GB2312" w:eastAsia="仿宋_GB2312" w:cs="仿宋_GB2312"/>
                <w:bCs/>
                <w:color w:val="000000"/>
                <w:kern w:val="0"/>
                <w:sz w:val="24"/>
                <w:szCs w:val="24"/>
                <w:lang w:bidi="ar"/>
              </w:rPr>
              <w:t>10.学术交流</w:t>
            </w:r>
          </w:p>
        </w:tc>
        <w:tc>
          <w:tcPr>
            <w:tcW w:w="2916" w:type="dxa"/>
            <w:noWrap w:val="0"/>
            <w:vAlign w:val="center"/>
          </w:tcPr>
          <w:p>
            <w:pPr>
              <w:jc w:val="left"/>
              <w:textAlignment w:val="baseline"/>
              <w:rPr>
                <w:rFonts w:hint="eastAsia" w:ascii="仿宋_GB2312" w:hAnsi="仿宋_GB2312" w:eastAsia="仿宋_GB2312" w:cs="仿宋_GB2312"/>
                <w:bCs/>
                <w:color w:val="000000"/>
                <w:kern w:val="0"/>
                <w:sz w:val="24"/>
                <w:szCs w:val="24"/>
                <w:lang w:bidi="ar"/>
              </w:rPr>
            </w:pPr>
            <w:r>
              <w:rPr>
                <w:rFonts w:hint="eastAsia" w:ascii="仿宋_GB2312" w:hAnsi="仿宋_GB2312" w:eastAsia="仿宋_GB2312" w:cs="仿宋_GB2312"/>
                <w:bCs/>
                <w:color w:val="000000"/>
                <w:kern w:val="0"/>
                <w:sz w:val="24"/>
                <w:szCs w:val="24"/>
                <w:lang w:bidi="ar"/>
              </w:rPr>
              <w:t>近 5 年，我院老师参加过国内学术会议，并与其他单位或国际学术机构的合作项目。</w:t>
            </w:r>
          </w:p>
        </w:tc>
        <w:tc>
          <w:tcPr>
            <w:tcW w:w="2846" w:type="dxa"/>
            <w:noWrap w:val="0"/>
            <w:vAlign w:val="center"/>
          </w:tcPr>
          <w:p>
            <w:pPr>
              <w:jc w:val="left"/>
              <w:textAlignment w:val="baseline"/>
              <w:rPr>
                <w:rFonts w:hint="eastAsia" w:ascii="仿宋_GB2312" w:hAnsi="仿宋_GB2312" w:eastAsia="仿宋_GB2312" w:cs="仿宋_GB2312"/>
                <w:bCs/>
                <w:color w:val="000000"/>
                <w:kern w:val="0"/>
                <w:sz w:val="24"/>
                <w:szCs w:val="24"/>
                <w:lang w:bidi="ar"/>
              </w:rPr>
            </w:pPr>
            <w:r>
              <w:rPr>
                <w:rFonts w:hint="eastAsia" w:ascii="仿宋_GB2312" w:hAnsi="仿宋_GB2312" w:eastAsia="仿宋_GB2312" w:cs="仿宋_GB2312"/>
                <w:bCs/>
                <w:color w:val="000000"/>
                <w:kern w:val="0"/>
                <w:sz w:val="24"/>
                <w:szCs w:val="24"/>
                <w:lang w:bidi="ar"/>
              </w:rPr>
              <w:t>主持召开或参加国内学术会议，并拥有与其他单位或国际学术机构的合作项目与专业竞赛等；鼓励导师每年参加具有行业影响力的交流活动；邀请知名专家来校开展学术讲座等；有一定比例的研究生参加国内外学术交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9" w:hRule="atLeast"/>
        </w:trPr>
        <w:tc>
          <w:tcPr>
            <w:tcW w:w="1124" w:type="dxa"/>
            <w:vMerge w:val="continue"/>
            <w:noWrap w:val="0"/>
            <w:vAlign w:val="center"/>
          </w:tcPr>
          <w:p>
            <w:pPr>
              <w:jc w:val="left"/>
              <w:rPr>
                <w:rFonts w:hint="eastAsia" w:ascii="仿宋_GB2312" w:hAnsi="仿宋_GB2312" w:eastAsia="仿宋_GB2312" w:cs="仿宋_GB2312"/>
                <w:bCs/>
                <w:color w:val="000000"/>
                <w:sz w:val="24"/>
                <w:szCs w:val="24"/>
              </w:rPr>
            </w:pPr>
          </w:p>
        </w:tc>
        <w:tc>
          <w:tcPr>
            <w:tcW w:w="1852" w:type="dxa"/>
            <w:noWrap w:val="0"/>
            <w:vAlign w:val="center"/>
          </w:tcPr>
          <w:p>
            <w:pPr>
              <w:widowControl/>
              <w:jc w:val="left"/>
              <w:textAlignment w:val="center"/>
              <w:rPr>
                <w:rFonts w:hint="eastAsia" w:ascii="仿宋_GB2312" w:hAnsi="仿宋_GB2312" w:eastAsia="仿宋_GB2312" w:cs="仿宋_GB2312"/>
                <w:bCs/>
                <w:color w:val="000000"/>
                <w:sz w:val="24"/>
                <w:szCs w:val="24"/>
              </w:rPr>
            </w:pPr>
            <w:r>
              <w:rPr>
                <w:rFonts w:hint="eastAsia" w:ascii="仿宋_GB2312" w:hAnsi="仿宋_GB2312" w:eastAsia="仿宋_GB2312" w:cs="仿宋_GB2312"/>
                <w:bCs/>
                <w:color w:val="000000"/>
                <w:kern w:val="0"/>
                <w:sz w:val="24"/>
                <w:szCs w:val="24"/>
                <w:lang w:bidi="ar"/>
              </w:rPr>
              <w:t>11.支撑条件</w:t>
            </w:r>
          </w:p>
        </w:tc>
        <w:tc>
          <w:tcPr>
            <w:tcW w:w="2916" w:type="dxa"/>
            <w:noWrap w:val="0"/>
            <w:vAlign w:val="center"/>
          </w:tcPr>
          <w:p>
            <w:pPr>
              <w:jc w:val="left"/>
              <w:textAlignment w:val="baseline"/>
              <w:rPr>
                <w:rFonts w:hint="eastAsia" w:ascii="仿宋_GB2312" w:hAnsi="仿宋_GB2312" w:eastAsia="仿宋_GB2312" w:cs="仿宋_GB2312"/>
                <w:bCs/>
                <w:color w:val="000000"/>
                <w:kern w:val="0"/>
                <w:sz w:val="24"/>
                <w:szCs w:val="24"/>
                <w:lang w:bidi="ar"/>
              </w:rPr>
            </w:pPr>
          </w:p>
          <w:p>
            <w:pPr>
              <w:jc w:val="left"/>
              <w:textAlignment w:val="baseline"/>
              <w:rPr>
                <w:rFonts w:hint="eastAsia" w:ascii="仿宋_GB2312" w:hAnsi="仿宋_GB2312" w:eastAsia="仿宋_GB2312" w:cs="仿宋_GB2312"/>
                <w:bCs/>
                <w:color w:val="000000"/>
                <w:kern w:val="0"/>
                <w:sz w:val="24"/>
                <w:szCs w:val="24"/>
                <w:lang w:bidi="ar"/>
              </w:rPr>
            </w:pPr>
            <w:r>
              <w:rPr>
                <w:rFonts w:hint="eastAsia" w:ascii="仿宋_GB2312" w:hAnsi="仿宋_GB2312" w:eastAsia="仿宋_GB2312" w:cs="仿宋_GB2312"/>
                <w:bCs/>
                <w:color w:val="000000"/>
                <w:kern w:val="0"/>
                <w:sz w:val="24"/>
                <w:szCs w:val="24"/>
                <w:lang w:bidi="ar"/>
              </w:rPr>
              <w:t>艺术与传媒学院制定有较全面的教学管理规章制度体系，包括专业培养方案与教学计划的制定、教学工作运行管理、教学任务和课堂授课管理、实习管理、考试管理、教学档案管理、毕业论文质量监控等一系列教学管理制度。2021年，计划在崇明校区完成数字媒体艺术专业的5个实训室的建设：影视全流程实验实训中心、数字互动娱乐实验实训中心、视觉传达实验实训中心、全媒体传播实验实训中心、数媒创作与艺术理论研究中心。</w:t>
            </w:r>
          </w:p>
          <w:p>
            <w:pPr>
              <w:jc w:val="left"/>
              <w:textAlignment w:val="baseline"/>
              <w:rPr>
                <w:rFonts w:hint="eastAsia" w:ascii="仿宋_GB2312" w:hAnsi="仿宋_GB2312" w:eastAsia="仿宋_GB2312" w:cs="仿宋_GB2312"/>
                <w:bCs/>
                <w:color w:val="000000"/>
                <w:kern w:val="0"/>
                <w:sz w:val="24"/>
                <w:szCs w:val="24"/>
                <w:lang w:bidi="ar"/>
              </w:rPr>
            </w:pPr>
            <w:r>
              <w:rPr>
                <w:rFonts w:hint="eastAsia" w:ascii="仿宋_GB2312" w:hAnsi="仿宋_GB2312" w:eastAsia="仿宋_GB2312" w:cs="仿宋_GB2312"/>
                <w:bCs/>
                <w:color w:val="000000"/>
                <w:kern w:val="0"/>
                <w:sz w:val="24"/>
                <w:szCs w:val="24"/>
                <w:lang w:bidi="ar"/>
              </w:rPr>
              <w:t>实验室能够满足目前培养计划的需求，实验室利用率较高。正式签约的实习基地有22个，保持每年至少有一批学生实习的基地不少于6个。图书馆和阅览室能够保证周末和晚上开放，专业图书和期刊数量能够基本满足师生使用需求。教学日常运行经费、实习实训和生均本科经费等近年连续增长，能满足教学需求。</w:t>
            </w:r>
          </w:p>
        </w:tc>
        <w:tc>
          <w:tcPr>
            <w:tcW w:w="2846" w:type="dxa"/>
            <w:noWrap w:val="0"/>
            <w:vAlign w:val="center"/>
          </w:tcPr>
          <w:p>
            <w:pPr>
              <w:jc w:val="left"/>
              <w:textAlignment w:val="baseline"/>
              <w:rPr>
                <w:rFonts w:hint="eastAsia" w:ascii="仿宋_GB2312" w:hAnsi="仿宋_GB2312" w:eastAsia="仿宋_GB2312" w:cs="仿宋_GB2312"/>
                <w:bCs/>
                <w:color w:val="000000"/>
                <w:kern w:val="0"/>
                <w:sz w:val="24"/>
                <w:szCs w:val="24"/>
                <w:lang w:bidi="ar"/>
              </w:rPr>
            </w:pPr>
            <w:r>
              <w:rPr>
                <w:rFonts w:hint="eastAsia" w:ascii="仿宋_GB2312" w:hAnsi="仿宋_GB2312" w:eastAsia="仿宋_GB2312" w:cs="仿宋_GB2312"/>
                <w:bCs/>
                <w:color w:val="000000"/>
                <w:kern w:val="0"/>
                <w:sz w:val="24"/>
                <w:szCs w:val="24"/>
                <w:lang w:bidi="ar"/>
              </w:rPr>
              <w:t>配备生均不少于 4 平方米的专用教室;提供与招生专业相关的实践实验空间和设备；拥有足够的电子图像资料和阅览条件。</w:t>
            </w:r>
          </w:p>
          <w:p>
            <w:pPr>
              <w:jc w:val="left"/>
              <w:textAlignment w:val="baseline"/>
              <w:rPr>
                <w:rFonts w:hint="eastAsia" w:ascii="仿宋_GB2312" w:hAnsi="仿宋_GB2312" w:eastAsia="仿宋_GB2312" w:cs="仿宋_GB2312"/>
                <w:bCs/>
                <w:color w:val="000000"/>
                <w:kern w:val="0"/>
                <w:sz w:val="24"/>
                <w:szCs w:val="24"/>
                <w:lang w:bidi="ar"/>
              </w:rPr>
            </w:pPr>
            <w:r>
              <w:rPr>
                <w:rFonts w:hint="eastAsia" w:ascii="仿宋_GB2312" w:hAnsi="仿宋_GB2312" w:eastAsia="仿宋_GB2312" w:cs="仿宋_GB2312"/>
                <w:bCs/>
                <w:color w:val="000000"/>
                <w:kern w:val="0"/>
                <w:sz w:val="24"/>
                <w:szCs w:val="24"/>
                <w:lang w:bidi="ar"/>
              </w:rPr>
              <w:t>1.建立专门的研究生工作室或导师共用工作室；</w:t>
            </w:r>
          </w:p>
          <w:p>
            <w:pPr>
              <w:jc w:val="left"/>
              <w:textAlignment w:val="baseline"/>
              <w:rPr>
                <w:rFonts w:hint="eastAsia" w:ascii="仿宋_GB2312" w:hAnsi="仿宋_GB2312" w:eastAsia="仿宋_GB2312" w:cs="仿宋_GB2312"/>
                <w:bCs/>
                <w:color w:val="000000"/>
                <w:kern w:val="0"/>
                <w:sz w:val="24"/>
                <w:szCs w:val="24"/>
                <w:lang w:bidi="ar"/>
              </w:rPr>
            </w:pPr>
            <w:r>
              <w:rPr>
                <w:rFonts w:hint="eastAsia" w:ascii="仿宋_GB2312" w:hAnsi="仿宋_GB2312" w:eastAsia="仿宋_GB2312" w:cs="仿宋_GB2312"/>
                <w:bCs/>
                <w:color w:val="000000"/>
                <w:kern w:val="0"/>
                <w:sz w:val="24"/>
                <w:szCs w:val="24"/>
                <w:lang w:bidi="ar"/>
              </w:rPr>
              <w:t>2.购买符合设计研究要求的国内外数据库资源，建设设计学科数字 资源平台；</w:t>
            </w:r>
          </w:p>
          <w:p>
            <w:pPr>
              <w:jc w:val="left"/>
              <w:textAlignment w:val="baseline"/>
              <w:rPr>
                <w:rFonts w:hint="eastAsia" w:ascii="仿宋_GB2312" w:hAnsi="仿宋_GB2312" w:eastAsia="仿宋_GB2312" w:cs="仿宋_GB2312"/>
                <w:bCs/>
                <w:color w:val="000000"/>
                <w:kern w:val="0"/>
                <w:sz w:val="24"/>
                <w:szCs w:val="24"/>
                <w:lang w:bidi="ar"/>
              </w:rPr>
            </w:pPr>
            <w:r>
              <w:rPr>
                <w:rFonts w:hint="eastAsia" w:ascii="仿宋_GB2312" w:hAnsi="仿宋_GB2312" w:eastAsia="仿宋_GB2312" w:cs="仿宋_GB2312"/>
                <w:bCs/>
                <w:color w:val="000000"/>
                <w:kern w:val="0"/>
                <w:sz w:val="24"/>
                <w:szCs w:val="24"/>
                <w:lang w:bidi="ar"/>
              </w:rPr>
              <w:t>3.健全研究生奖助学体系，补充培养经费和完善研究生管理制度体系和学风建设制度；</w:t>
            </w:r>
          </w:p>
          <w:p>
            <w:pPr>
              <w:jc w:val="left"/>
              <w:textAlignment w:val="baseline"/>
              <w:rPr>
                <w:rFonts w:hint="eastAsia" w:ascii="仿宋_GB2312" w:hAnsi="仿宋_GB2312" w:eastAsia="仿宋_GB2312" w:cs="仿宋_GB2312"/>
                <w:bCs/>
                <w:color w:val="000000"/>
                <w:kern w:val="0"/>
                <w:sz w:val="24"/>
                <w:szCs w:val="24"/>
                <w:lang w:bidi="ar"/>
              </w:rPr>
            </w:pPr>
            <w:r>
              <w:rPr>
                <w:rFonts w:hint="eastAsia" w:ascii="仿宋_GB2312" w:hAnsi="仿宋_GB2312" w:eastAsia="仿宋_GB2312" w:cs="仿宋_GB2312"/>
                <w:bCs/>
                <w:color w:val="000000"/>
                <w:kern w:val="0"/>
                <w:sz w:val="24"/>
                <w:szCs w:val="24"/>
                <w:lang w:bidi="ar"/>
              </w:rPr>
              <w:t>4.签约校外行业企业，建立校内外实践实习基地3000余平方米（包括数字空间与交互设计实践基地、环境空间与地域创新设计实践基地、品牌形象与视觉传达设计实践基地等），将学生的专业实践落到实处，建设营造优良的学习环境。保证教研室、工作室（虚拟现实艺术与技术工作室、数字互动娱乐工作室、品牌视觉工作室等）、重点实验室（自然生态景观实验室、色彩与光环境实验室、空间模型实验室等）、实践基地等科研创新平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9" w:hRule="atLeast"/>
        </w:trPr>
        <w:tc>
          <w:tcPr>
            <w:tcW w:w="1124" w:type="dxa"/>
            <w:noWrap w:val="0"/>
            <w:vAlign w:val="center"/>
          </w:tcPr>
          <w:p>
            <w:pPr>
              <w:widowControl/>
              <w:jc w:val="left"/>
              <w:textAlignment w:val="center"/>
              <w:rPr>
                <w:rFonts w:hint="eastAsia" w:ascii="仿宋_GB2312" w:hAnsi="仿宋_GB2312" w:eastAsia="仿宋_GB2312" w:cs="仿宋_GB2312"/>
                <w:bCs/>
                <w:color w:val="000000"/>
                <w:kern w:val="0"/>
                <w:sz w:val="24"/>
                <w:szCs w:val="24"/>
                <w:lang w:bidi="ar"/>
              </w:rPr>
            </w:pPr>
            <w:r>
              <w:rPr>
                <w:rFonts w:hint="eastAsia" w:ascii="仿宋_GB2312" w:hAnsi="仿宋_GB2312" w:eastAsia="仿宋_GB2312" w:cs="仿宋_GB2312"/>
                <w:bCs/>
                <w:color w:val="000000"/>
                <w:kern w:val="0"/>
                <w:sz w:val="24"/>
                <w:szCs w:val="24"/>
                <w:lang w:bidi="ar"/>
              </w:rPr>
              <w:t>五、其他要求</w:t>
            </w:r>
          </w:p>
        </w:tc>
        <w:tc>
          <w:tcPr>
            <w:tcW w:w="1852" w:type="dxa"/>
            <w:noWrap w:val="0"/>
            <w:vAlign w:val="center"/>
          </w:tcPr>
          <w:p>
            <w:pPr>
              <w:widowControl/>
              <w:jc w:val="center"/>
              <w:textAlignment w:val="center"/>
              <w:rPr>
                <w:rFonts w:hint="eastAsia" w:ascii="仿宋_GB2312" w:hAnsi="仿宋_GB2312" w:eastAsia="仿宋_GB2312" w:cs="仿宋_GB2312"/>
                <w:bCs/>
                <w:color w:val="000000"/>
                <w:kern w:val="0"/>
                <w:sz w:val="24"/>
                <w:szCs w:val="24"/>
                <w:lang w:bidi="ar"/>
              </w:rPr>
            </w:pPr>
          </w:p>
        </w:tc>
        <w:tc>
          <w:tcPr>
            <w:tcW w:w="2916" w:type="dxa"/>
            <w:noWrap w:val="0"/>
            <w:vAlign w:val="center"/>
          </w:tcPr>
          <w:p>
            <w:pPr>
              <w:jc w:val="center"/>
              <w:rPr>
                <w:rFonts w:hint="eastAsia" w:ascii="仿宋_GB2312" w:hAnsi="仿宋_GB2312" w:eastAsia="仿宋_GB2312" w:cs="仿宋_GB2312"/>
                <w:b/>
                <w:color w:val="000000"/>
                <w:sz w:val="28"/>
                <w:szCs w:val="28"/>
              </w:rPr>
            </w:pPr>
          </w:p>
        </w:tc>
        <w:tc>
          <w:tcPr>
            <w:tcW w:w="2846" w:type="dxa"/>
            <w:noWrap w:val="0"/>
            <w:vAlign w:val="center"/>
          </w:tcPr>
          <w:p>
            <w:pPr>
              <w:jc w:val="center"/>
              <w:rPr>
                <w:rFonts w:hint="eastAsia" w:ascii="仿宋_GB2312" w:hAnsi="仿宋_GB2312" w:eastAsia="仿宋_GB2312" w:cs="仿宋_GB2312"/>
                <w:b/>
                <w:color w:val="000000"/>
                <w:sz w:val="28"/>
                <w:szCs w:val="28"/>
              </w:rPr>
            </w:pPr>
          </w:p>
        </w:tc>
      </w:tr>
    </w:tbl>
    <w:p>
      <w:pPr>
        <w:rPr>
          <w:vanish/>
          <w:color w:val="000000"/>
        </w:rPr>
      </w:pPr>
    </w:p>
    <w:p>
      <w:pPr>
        <w:outlineLvl w:val="0"/>
        <w:rPr>
          <w:rFonts w:hint="eastAsia" w:ascii="仿宋_GB2312" w:hAnsi="仿宋_GB2312" w:eastAsia="仿宋_GB2312" w:cs="仿宋_GB2312"/>
          <w:bCs/>
          <w:color w:val="000000"/>
          <w:sz w:val="20"/>
          <w:szCs w:val="20"/>
        </w:rPr>
        <w:sectPr>
          <w:footerReference r:id="rId15" w:type="default"/>
          <w:pgSz w:w="11906" w:h="16838"/>
          <w:pgMar w:top="1701" w:right="1588" w:bottom="1701" w:left="1588" w:header="851" w:footer="992" w:gutter="0"/>
          <w:cols w:space="720" w:num="1"/>
          <w:docGrid w:type="lines" w:linePitch="312" w:charSpace="0"/>
        </w:sectPr>
      </w:pPr>
      <w:r>
        <w:rPr>
          <w:rFonts w:hint="eastAsia" w:ascii="仿宋_GB2312" w:hAnsi="仿宋_GB2312" w:eastAsia="仿宋_GB2312" w:cs="仿宋_GB2312"/>
          <w:bCs/>
          <w:color w:val="000000"/>
          <w:sz w:val="20"/>
          <w:szCs w:val="20"/>
        </w:rPr>
        <w:t>注：如拟建设的学位点有多个，请自行复制五至七填</w:t>
      </w:r>
    </w:p>
    <w:p>
      <w:pPr>
        <w:outlineLvl w:val="0"/>
        <w:rPr>
          <w:rFonts w:hint="eastAsia" w:ascii="黑体" w:hAnsi="黑体" w:eastAsia="黑体" w:cs="黑体"/>
          <w:bCs/>
          <w:color w:val="000000"/>
          <w:sz w:val="30"/>
          <w:szCs w:val="30"/>
        </w:rPr>
      </w:pPr>
    </w:p>
    <w:p>
      <w:pPr>
        <w:outlineLvl w:val="0"/>
        <w:rPr>
          <w:rFonts w:hint="eastAsia" w:ascii="黑体" w:hAnsi="黑体" w:eastAsia="黑体" w:cs="黑体"/>
          <w:bCs/>
          <w:color w:val="000000"/>
          <w:sz w:val="30"/>
          <w:szCs w:val="30"/>
        </w:rPr>
      </w:pPr>
      <w:r>
        <w:rPr>
          <w:rFonts w:hint="eastAsia" w:ascii="黑体" w:hAnsi="黑体" w:eastAsia="黑体" w:cs="黑体"/>
          <w:bCs/>
          <w:color w:val="000000"/>
          <w:sz w:val="30"/>
          <w:szCs w:val="30"/>
        </w:rPr>
        <w:t>八、单位意见</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9" w:hRule="atLeast"/>
        </w:trPr>
        <w:tc>
          <w:tcPr>
            <w:tcW w:w="8946" w:type="dxa"/>
            <w:noWrap w:val="0"/>
            <w:vAlign w:val="top"/>
          </w:tcPr>
          <w:p>
            <w:pPr>
              <w:spacing w:line="400" w:lineRule="exact"/>
              <w:rPr>
                <w:rFonts w:hint="eastAsia" w:ascii="仿宋_GB2312" w:hAnsi="仿宋_GB2312" w:eastAsia="仿宋_GB2312" w:cs="仿宋_GB2312"/>
                <w:color w:val="000000"/>
                <w:kern w:val="0"/>
                <w:sz w:val="28"/>
                <w:szCs w:val="28"/>
                <w:lang w:bidi="ar"/>
              </w:rPr>
            </w:pPr>
            <w:r>
              <w:rPr>
                <w:rFonts w:hint="eastAsia" w:ascii="仿宋_GB2312" w:hAnsi="仿宋_GB2312" w:eastAsia="仿宋_GB2312" w:cs="仿宋_GB2312"/>
                <w:color w:val="000000"/>
                <w:kern w:val="0"/>
                <w:sz w:val="28"/>
                <w:szCs w:val="28"/>
                <w:lang w:bidi="ar"/>
              </w:rPr>
              <w:t>（一）校学位评定委员会推荐意见：</w:t>
            </w:r>
          </w:p>
          <w:p>
            <w:pPr>
              <w:spacing w:line="400" w:lineRule="exact"/>
              <w:rPr>
                <w:rFonts w:hint="eastAsia" w:ascii="仿宋_GB2312" w:hAnsi="仿宋_GB2312" w:eastAsia="仿宋_GB2312" w:cs="仿宋_GB2312"/>
                <w:color w:val="000000"/>
                <w:kern w:val="0"/>
                <w:szCs w:val="21"/>
                <w:lang w:bidi="ar"/>
              </w:rPr>
            </w:pPr>
          </w:p>
          <w:p>
            <w:pPr>
              <w:widowControl/>
              <w:ind w:firstLine="640" w:firstLineChars="200"/>
              <w:jc w:val="left"/>
              <w:rPr>
                <w:rFonts w:ascii="仿宋" w:hAnsi="仿宋" w:eastAsia="仿宋" w:cs="仿宋"/>
                <w:color w:val="000000"/>
                <w:kern w:val="0"/>
                <w:sz w:val="32"/>
                <w:szCs w:val="32"/>
                <w:lang w:bidi="ar"/>
              </w:rPr>
            </w:pPr>
            <w:r>
              <w:rPr>
                <w:rFonts w:ascii="仿宋" w:hAnsi="仿宋" w:eastAsia="仿宋" w:cs="仿宋"/>
                <w:color w:val="000000"/>
                <w:kern w:val="0"/>
                <w:sz w:val="32"/>
                <w:szCs w:val="32"/>
                <w:lang w:bidi="ar"/>
              </w:rPr>
              <w:t>经校学位评定委员会审</w:t>
            </w:r>
            <w:r>
              <w:rPr>
                <w:rFonts w:hint="eastAsia" w:ascii="仿宋" w:hAnsi="仿宋" w:eastAsia="仿宋" w:cs="仿宋"/>
                <w:color w:val="000000"/>
                <w:kern w:val="0"/>
                <w:sz w:val="32"/>
                <w:szCs w:val="32"/>
                <w:lang w:bidi="ar"/>
              </w:rPr>
              <w:t>议，一致同意申报硕士学位授予单位培育建设专项项目。</w:t>
            </w:r>
          </w:p>
          <w:p>
            <w:pPr>
              <w:spacing w:line="400" w:lineRule="exact"/>
              <w:rPr>
                <w:rFonts w:hint="eastAsia" w:ascii="仿宋_GB2312" w:hAnsi="仿宋_GB2312" w:eastAsia="仿宋_GB2312" w:cs="仿宋_GB2312"/>
                <w:color w:val="000000"/>
                <w:kern w:val="0"/>
                <w:sz w:val="28"/>
                <w:szCs w:val="28"/>
                <w:lang w:bidi="ar"/>
              </w:rPr>
            </w:pPr>
          </w:p>
          <w:p>
            <w:pPr>
              <w:spacing w:line="400" w:lineRule="exact"/>
              <w:rPr>
                <w:rFonts w:hint="eastAsia" w:ascii="仿宋_GB2312" w:hAnsi="仿宋_GB2312" w:eastAsia="仿宋_GB2312" w:cs="仿宋_GB2312"/>
                <w:color w:val="000000"/>
                <w:kern w:val="0"/>
                <w:sz w:val="28"/>
                <w:szCs w:val="28"/>
                <w:lang w:bidi="ar"/>
              </w:rPr>
            </w:pPr>
          </w:p>
          <w:p>
            <w:pPr>
              <w:spacing w:line="400" w:lineRule="exact"/>
              <w:rPr>
                <w:rFonts w:hint="eastAsia" w:ascii="仿宋_GB2312" w:hAnsi="仿宋_GB2312" w:eastAsia="仿宋_GB2312" w:cs="仿宋_GB2312"/>
                <w:color w:val="000000"/>
                <w:kern w:val="0"/>
                <w:sz w:val="28"/>
                <w:szCs w:val="28"/>
                <w:lang w:bidi="ar"/>
              </w:rPr>
            </w:pPr>
          </w:p>
          <w:p>
            <w:pPr>
              <w:spacing w:line="400" w:lineRule="exact"/>
              <w:rPr>
                <w:rFonts w:hint="eastAsia" w:ascii="仿宋_GB2312" w:hAnsi="仿宋_GB2312" w:eastAsia="仿宋_GB2312" w:cs="仿宋_GB2312"/>
                <w:color w:val="000000"/>
                <w:kern w:val="0"/>
                <w:sz w:val="28"/>
                <w:szCs w:val="28"/>
                <w:lang w:bidi="ar"/>
              </w:rPr>
            </w:pPr>
          </w:p>
          <w:p>
            <w:pPr>
              <w:pStyle w:val="2"/>
              <w:rPr>
                <w:rFonts w:hint="eastAsia" w:ascii="仿宋_GB2312" w:hAnsi="仿宋_GB2312" w:eastAsia="仿宋_GB2312" w:cs="仿宋_GB2312"/>
                <w:color w:val="000000"/>
                <w:kern w:val="0"/>
                <w:sz w:val="28"/>
                <w:szCs w:val="28"/>
                <w:lang w:bidi="ar"/>
              </w:rPr>
            </w:pPr>
          </w:p>
          <w:p>
            <w:pPr>
              <w:pStyle w:val="2"/>
              <w:rPr>
                <w:rFonts w:hint="eastAsia" w:ascii="仿宋_GB2312" w:hAnsi="仿宋_GB2312" w:eastAsia="仿宋_GB2312" w:cs="仿宋_GB2312"/>
                <w:color w:val="000000"/>
                <w:kern w:val="0"/>
                <w:sz w:val="28"/>
                <w:szCs w:val="28"/>
                <w:lang w:bidi="ar"/>
              </w:rPr>
            </w:pPr>
          </w:p>
          <w:p>
            <w:pPr>
              <w:pStyle w:val="2"/>
              <w:rPr>
                <w:rFonts w:hint="eastAsia" w:ascii="仿宋_GB2312" w:hAnsi="仿宋_GB2312" w:eastAsia="仿宋_GB2312" w:cs="仿宋_GB2312"/>
                <w:color w:val="000000"/>
                <w:kern w:val="0"/>
                <w:sz w:val="28"/>
                <w:szCs w:val="28"/>
                <w:lang w:bidi="ar"/>
              </w:rPr>
            </w:pPr>
          </w:p>
          <w:p>
            <w:pPr>
              <w:spacing w:line="400" w:lineRule="exact"/>
              <w:ind w:firstLine="3640" w:firstLineChars="1300"/>
              <w:rPr>
                <w:rFonts w:hint="eastAsia" w:ascii="仿宋_GB2312" w:hAnsi="仿宋_GB2312" w:eastAsia="仿宋_GB2312" w:cs="仿宋_GB2312"/>
                <w:color w:val="000000"/>
                <w:kern w:val="0"/>
                <w:sz w:val="28"/>
                <w:szCs w:val="28"/>
                <w:lang w:bidi="ar"/>
              </w:rPr>
            </w:pPr>
            <w:r>
              <w:rPr>
                <w:rFonts w:hint="eastAsia" w:ascii="仿宋_GB2312" w:hAnsi="仿宋_GB2312" w:eastAsia="仿宋_GB2312" w:cs="仿宋_GB2312"/>
                <w:color w:val="000000"/>
                <w:kern w:val="0"/>
                <w:sz w:val="28"/>
                <w:szCs w:val="28"/>
                <w:lang w:bidi="ar"/>
              </w:rPr>
              <w:t>主席：           （校学位评定委员会章）</w:t>
            </w:r>
          </w:p>
          <w:p>
            <w:pPr>
              <w:spacing w:line="400" w:lineRule="exact"/>
              <w:rPr>
                <w:rFonts w:hint="eastAsia" w:ascii="仿宋_GB2312" w:hAnsi="仿宋_GB2312" w:eastAsia="仿宋_GB2312" w:cs="仿宋_GB2312"/>
                <w:color w:val="000000"/>
                <w:kern w:val="0"/>
                <w:sz w:val="28"/>
                <w:szCs w:val="28"/>
                <w:lang w:bidi="ar"/>
              </w:rPr>
            </w:pPr>
          </w:p>
          <w:p>
            <w:pPr>
              <w:spacing w:line="400" w:lineRule="exact"/>
              <w:ind w:firstLine="5600" w:firstLineChars="2000"/>
              <w:rPr>
                <w:rFonts w:ascii="仿宋_GB2312" w:hAnsi="仿宋_GB2312" w:eastAsia="仿宋_GB2312" w:cs="仿宋_GB2312"/>
                <w:color w:val="000000"/>
                <w:kern w:val="0"/>
                <w:sz w:val="28"/>
                <w:szCs w:val="28"/>
                <w:lang w:bidi="ar"/>
              </w:rPr>
            </w:pPr>
            <w:r>
              <w:rPr>
                <w:rFonts w:hint="eastAsia" w:ascii="仿宋_GB2312" w:hAnsi="仿宋_GB2312" w:eastAsia="仿宋_GB2312" w:cs="仿宋_GB2312"/>
                <w:color w:val="000000"/>
                <w:kern w:val="0"/>
                <w:sz w:val="28"/>
                <w:szCs w:val="28"/>
                <w:lang w:bidi="ar"/>
              </w:rPr>
              <w:t xml:space="preserve"> 2021年  11月  10日</w:t>
            </w:r>
          </w:p>
        </w:tc>
      </w:tr>
    </w:tbl>
    <w:p>
      <w:pPr>
        <w:spacing w:line="400" w:lineRule="exact"/>
        <w:rPr>
          <w:rFonts w:hint="eastAsia" w:ascii="仿宋_GB2312" w:hAnsi="仿宋_GB2312" w:eastAsia="仿宋_GB2312" w:cs="仿宋_GB2312"/>
          <w:color w:val="000000"/>
          <w:kern w:val="0"/>
          <w:sz w:val="28"/>
          <w:szCs w:val="28"/>
          <w:lang w:bidi="ar"/>
        </w:rPr>
        <w:sectPr>
          <w:footerReference r:id="rId16" w:type="default"/>
          <w:pgSz w:w="11906" w:h="16838"/>
          <w:pgMar w:top="1701" w:right="1588" w:bottom="1701" w:left="1588" w:header="851" w:footer="992" w:gutter="0"/>
          <w:cols w:space="720" w:num="1"/>
          <w:docGrid w:type="lines" w:linePitch="312" w:charSpace="0"/>
        </w:sectPr>
      </w:pP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50" w:hRule="atLeast"/>
        </w:trPr>
        <w:tc>
          <w:tcPr>
            <w:tcW w:w="8946" w:type="dxa"/>
            <w:noWrap w:val="0"/>
            <w:vAlign w:val="top"/>
          </w:tcPr>
          <w:p>
            <w:pPr>
              <w:spacing w:line="400" w:lineRule="exact"/>
              <w:rPr>
                <w:rFonts w:hint="eastAsia" w:ascii="仿宋_GB2312" w:hAnsi="仿宋_GB2312" w:eastAsia="仿宋_GB2312" w:cs="仿宋_GB2312"/>
                <w:color w:val="000000"/>
                <w:kern w:val="0"/>
                <w:sz w:val="28"/>
                <w:szCs w:val="28"/>
                <w:lang w:bidi="ar"/>
              </w:rPr>
            </w:pPr>
            <w:r>
              <w:rPr>
                <w:rFonts w:hint="eastAsia" w:ascii="仿宋_GB2312" w:hAnsi="仿宋_GB2312" w:eastAsia="仿宋_GB2312" w:cs="仿宋_GB2312"/>
                <w:color w:val="000000"/>
                <w:kern w:val="0"/>
                <w:sz w:val="28"/>
                <w:szCs w:val="28"/>
                <w:lang w:bidi="ar"/>
              </w:rPr>
              <w:t xml:space="preserve">（二）学位授予单位承诺： </w:t>
            </w:r>
          </w:p>
          <w:p>
            <w:pPr>
              <w:spacing w:line="400" w:lineRule="exact"/>
              <w:ind w:firstLine="560" w:firstLineChars="200"/>
              <w:rPr>
                <w:rFonts w:hint="eastAsia" w:ascii="仿宋_GB2312" w:hAnsi="仿宋_GB2312" w:eastAsia="仿宋_GB2312" w:cs="仿宋_GB2312"/>
                <w:color w:val="000000"/>
                <w:kern w:val="0"/>
                <w:sz w:val="28"/>
                <w:szCs w:val="28"/>
                <w:lang w:bidi="ar"/>
              </w:rPr>
            </w:pPr>
          </w:p>
          <w:p>
            <w:pPr>
              <w:spacing w:line="400" w:lineRule="exact"/>
              <w:ind w:firstLine="560" w:firstLineChars="200"/>
              <w:rPr>
                <w:rFonts w:hint="eastAsia" w:ascii="仿宋_GB2312" w:hAnsi="仿宋_GB2312" w:eastAsia="仿宋_GB2312" w:cs="仿宋_GB2312"/>
                <w:color w:val="000000"/>
                <w:kern w:val="0"/>
                <w:sz w:val="28"/>
                <w:szCs w:val="28"/>
                <w:lang w:bidi="ar"/>
              </w:rPr>
            </w:pPr>
            <w:r>
              <w:rPr>
                <w:rFonts w:hint="eastAsia" w:ascii="仿宋_GB2312" w:hAnsi="仿宋_GB2312" w:eastAsia="仿宋_GB2312" w:cs="仿宋_GB2312"/>
                <w:color w:val="000000"/>
                <w:kern w:val="0"/>
                <w:sz w:val="28"/>
                <w:szCs w:val="28"/>
                <w:lang w:bidi="ar"/>
              </w:rPr>
              <w:t>本表中提供的材料和数据准确无误、真实可靠，不涉及国家秘密并可公开，同意上报。本单位愿意承担由此材料真实性所带来的一切后果和法律责任。特此承诺。</w:t>
            </w:r>
          </w:p>
          <w:p>
            <w:pPr>
              <w:spacing w:line="400" w:lineRule="exact"/>
              <w:ind w:firstLine="560" w:firstLineChars="200"/>
              <w:rPr>
                <w:rFonts w:hint="eastAsia" w:ascii="仿宋_GB2312" w:hAnsi="仿宋_GB2312" w:eastAsia="仿宋_GB2312" w:cs="仿宋_GB2312"/>
                <w:color w:val="000000"/>
                <w:kern w:val="0"/>
                <w:sz w:val="28"/>
                <w:szCs w:val="28"/>
                <w:lang w:bidi="ar"/>
              </w:rPr>
            </w:pPr>
          </w:p>
          <w:p>
            <w:pPr>
              <w:spacing w:line="400" w:lineRule="exact"/>
              <w:ind w:firstLine="560" w:firstLineChars="200"/>
              <w:rPr>
                <w:rFonts w:hint="eastAsia" w:ascii="仿宋_GB2312" w:hAnsi="仿宋_GB2312" w:eastAsia="仿宋_GB2312" w:cs="仿宋_GB2312"/>
                <w:color w:val="000000"/>
                <w:kern w:val="0"/>
                <w:sz w:val="28"/>
                <w:szCs w:val="28"/>
                <w:lang w:bidi="ar"/>
              </w:rPr>
            </w:pPr>
          </w:p>
          <w:p>
            <w:pPr>
              <w:spacing w:line="400" w:lineRule="exact"/>
              <w:ind w:firstLine="560" w:firstLineChars="200"/>
              <w:rPr>
                <w:rFonts w:hint="eastAsia" w:ascii="仿宋_GB2312" w:hAnsi="仿宋_GB2312" w:eastAsia="仿宋_GB2312" w:cs="仿宋_GB2312"/>
                <w:color w:val="000000"/>
                <w:kern w:val="0"/>
                <w:sz w:val="28"/>
                <w:szCs w:val="28"/>
                <w:lang w:bidi="ar"/>
              </w:rPr>
            </w:pPr>
            <w:r>
              <w:rPr>
                <w:rFonts w:hint="eastAsia" w:ascii="仿宋_GB2312" w:hAnsi="仿宋_GB2312" w:eastAsia="仿宋_GB2312" w:cs="仿宋_GB2312"/>
                <w:color w:val="000000"/>
                <w:kern w:val="0"/>
                <w:sz w:val="28"/>
                <w:szCs w:val="28"/>
                <w:lang w:bidi="ar"/>
              </w:rPr>
              <w:t xml:space="preserve"> </w:t>
            </w:r>
          </w:p>
          <w:p>
            <w:pPr>
              <w:spacing w:line="400" w:lineRule="exact"/>
              <w:rPr>
                <w:rFonts w:hint="eastAsia" w:ascii="仿宋_GB2312" w:hAnsi="仿宋_GB2312" w:eastAsia="仿宋_GB2312" w:cs="仿宋_GB2312"/>
                <w:color w:val="000000"/>
                <w:kern w:val="0"/>
                <w:sz w:val="28"/>
                <w:szCs w:val="28"/>
                <w:lang w:bidi="ar"/>
              </w:rPr>
            </w:pPr>
          </w:p>
          <w:p>
            <w:pPr>
              <w:spacing w:line="400" w:lineRule="exact"/>
              <w:ind w:firstLine="560" w:firstLineChars="200"/>
              <w:rPr>
                <w:rFonts w:hint="eastAsia" w:ascii="仿宋_GB2312" w:hAnsi="仿宋_GB2312" w:eastAsia="仿宋_GB2312" w:cs="仿宋_GB2312"/>
                <w:color w:val="000000"/>
                <w:kern w:val="0"/>
                <w:sz w:val="28"/>
                <w:szCs w:val="28"/>
                <w:lang w:bidi="ar"/>
              </w:rPr>
            </w:pPr>
          </w:p>
          <w:p>
            <w:pPr>
              <w:spacing w:line="400" w:lineRule="exact"/>
              <w:ind w:firstLine="560" w:firstLineChars="200"/>
              <w:rPr>
                <w:rFonts w:hint="eastAsia" w:ascii="仿宋_GB2312" w:hAnsi="仿宋_GB2312" w:eastAsia="仿宋_GB2312" w:cs="仿宋_GB2312"/>
                <w:color w:val="000000"/>
                <w:kern w:val="0"/>
                <w:sz w:val="28"/>
                <w:szCs w:val="28"/>
                <w:lang w:bidi="ar"/>
              </w:rPr>
            </w:pPr>
            <w:r>
              <w:rPr>
                <w:rFonts w:hint="eastAsia" w:ascii="仿宋_GB2312" w:hAnsi="仿宋_GB2312" w:eastAsia="仿宋_GB2312" w:cs="仿宋_GB2312"/>
                <w:color w:val="000000"/>
                <w:kern w:val="0"/>
                <w:sz w:val="28"/>
                <w:szCs w:val="28"/>
                <w:lang w:bidi="ar"/>
              </w:rPr>
              <w:t xml:space="preserve">法人代表： （单位公章） </w:t>
            </w:r>
          </w:p>
          <w:p>
            <w:pPr>
              <w:spacing w:line="400" w:lineRule="exact"/>
              <w:rPr>
                <w:rFonts w:hint="eastAsia" w:ascii="仿宋_GB2312" w:hAnsi="仿宋_GB2312" w:eastAsia="仿宋_GB2312" w:cs="仿宋_GB2312"/>
                <w:color w:val="000000"/>
                <w:kern w:val="0"/>
                <w:sz w:val="28"/>
                <w:szCs w:val="28"/>
                <w:lang w:bidi="ar"/>
              </w:rPr>
            </w:pPr>
          </w:p>
          <w:p>
            <w:pPr>
              <w:spacing w:line="400" w:lineRule="exact"/>
              <w:ind w:firstLine="5600" w:firstLineChars="2000"/>
              <w:rPr>
                <w:rFonts w:ascii="仿宋_GB2312" w:hAnsi="仿宋_GB2312" w:eastAsia="仿宋_GB2312" w:cs="仿宋_GB2312"/>
                <w:color w:val="000000"/>
                <w:kern w:val="0"/>
                <w:sz w:val="28"/>
                <w:szCs w:val="28"/>
                <w:lang w:bidi="ar"/>
              </w:rPr>
            </w:pPr>
            <w:r>
              <w:rPr>
                <w:rFonts w:hint="eastAsia" w:ascii="仿宋_GB2312" w:hAnsi="仿宋_GB2312" w:eastAsia="仿宋_GB2312" w:cs="仿宋_GB2312"/>
                <w:color w:val="000000"/>
                <w:kern w:val="0"/>
                <w:sz w:val="28"/>
                <w:szCs w:val="28"/>
                <w:lang w:bidi="ar"/>
              </w:rPr>
              <w:t>2021年 11月 10日</w:t>
            </w:r>
          </w:p>
        </w:tc>
      </w:tr>
    </w:tbl>
    <w:p>
      <w:pPr>
        <w:jc w:val="left"/>
        <w:rPr>
          <w:rFonts w:hint="eastAsia" w:ascii="仿宋_GB2312" w:hAnsi="黑体" w:eastAsia="仿宋_GB2312"/>
          <w:b/>
          <w:color w:val="000000"/>
          <w:sz w:val="30"/>
          <w:szCs w:val="30"/>
        </w:rPr>
      </w:pPr>
    </w:p>
    <w:sectPr>
      <w:footerReference r:id="rId17" w:type="default"/>
      <w:pgSz w:w="11906" w:h="16838"/>
      <w:pgMar w:top="1701" w:right="1588" w:bottom="1701" w:left="158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1E45AEA2-61F6-435C-B941-3A9449D36376}"/>
  </w:font>
  <w:font w:name="黑体">
    <w:panose1 w:val="02010609060101010101"/>
    <w:charset w:val="86"/>
    <w:family w:val="auto"/>
    <w:pitch w:val="default"/>
    <w:sig w:usb0="800002BF" w:usb1="38CF7CFA" w:usb2="00000016" w:usb3="00000000" w:csb0="00040001" w:csb1="00000000"/>
    <w:embedRegular r:id="rId2" w:fontKey="{655F516D-0E1A-4CE3-8187-37564B6F441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embedRegular r:id="rId3" w:fontKey="{A86B9315-1A51-47ED-A829-EA43D2A6BCBC}"/>
  </w:font>
  <w:font w:name="仿宋">
    <w:panose1 w:val="02010609060101010101"/>
    <w:charset w:val="86"/>
    <w:family w:val="auto"/>
    <w:pitch w:val="default"/>
    <w:sig w:usb0="800002BF" w:usb1="38CF7CFA" w:usb2="00000016" w:usb3="00000000" w:csb0="00040001" w:csb1="00000000"/>
    <w:embedRegular r:id="rId4" w:fontKey="{257BE6E6-48B7-4F84-9E09-D8AFBA61C62E}"/>
  </w:font>
  <w:font w:name="华文中宋">
    <w:panose1 w:val="02010600040101010101"/>
    <w:charset w:val="86"/>
    <w:family w:val="auto"/>
    <w:pitch w:val="default"/>
    <w:sig w:usb0="00000287" w:usb1="080F0000" w:usb2="00000000" w:usb3="00000000" w:csb0="0004009F" w:csb1="DFD70000"/>
  </w:font>
  <w:font w:name="方正小标宋简体">
    <w:panose1 w:val="02000000000000000000"/>
    <w:charset w:val="86"/>
    <w:family w:val="script"/>
    <w:pitch w:val="default"/>
    <w:sig w:usb0="00000001" w:usb1="08000000" w:usb2="00000000" w:usb3="00000000" w:csb0="00040000" w:csb1="00000000"/>
    <w:embedRegular r:id="rId5" w:fontKey="{EB4A4593-8DEF-45D1-A632-5061C95DCA4B}"/>
  </w:font>
  <w:font w:name="Wingdings 2">
    <w:panose1 w:val="05020102010507070707"/>
    <w:charset w:val="02"/>
    <w:family w:val="roman"/>
    <w:pitch w:val="default"/>
    <w:sig w:usb0="00000000" w:usb1="00000000" w:usb2="00000000" w:usb3="00000000" w:csb0="80000000" w:csb1="00000000"/>
    <w:embedRegular r:id="rId6" w:fontKey="{394E7F2A-B263-4CD9-8FA5-7969E800F826}"/>
  </w:font>
  <w:font w:name="微软雅黑">
    <w:panose1 w:val="020B0503020204020204"/>
    <w:charset w:val="86"/>
    <w:family w:val="swiss"/>
    <w:pitch w:val="default"/>
    <w:sig w:usb0="80000287" w:usb1="2ACF3C50" w:usb2="00000016" w:usb3="00000000" w:csb0="0004001F" w:csb1="00000000"/>
    <w:embedRegular r:id="rId7" w:fontKey="{C64B30F1-20C6-4BF4-B119-40F08E3EBC49}"/>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center"/>
    </w:pPr>
    <w: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6"/>
                          </w:pPr>
                          <w:r>
                            <w:fldChar w:fldCharType="begin"/>
                          </w:r>
                          <w:r>
                            <w:instrText xml:space="preserve"> PAGE  \* MERGEFORMAT </w:instrText>
                          </w:r>
                          <w:r>
                            <w:fldChar w:fldCharType="separate"/>
                          </w:r>
                          <w:r>
                            <w:t>1</w:t>
                          </w:r>
                          <w:r>
                            <w:fldChar w:fldCharType="end"/>
                          </w:r>
                        </w:p>
                      </w:txbxContent>
                    </wps:txbx>
                    <wps:bodyPr wrap="none" lIns="0" tIns="0" rIns="0" bIns="0" upright="1">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M2dPQ/IAQAAmQMAAA4AAAAAAAAAAQAgAAAAHgEAAGRycy9lMm9Eb2Mu&#10;eG1sUEsFBgAAAAAGAAYAWQEAAFgFAAAAAA==&#10;">
              <v:fill on="f" focussize="0,0"/>
              <v:stroke on="f"/>
              <v:imagedata o:title=""/>
              <o:lock v:ext="edit" aspectratio="f"/>
              <v:textbox inset="0mm,0mm,0mm,0mm" style="mso-fit-shape-to-text:t;">
                <w:txbxContent>
                  <w:p>
                    <w:pPr>
                      <w:pStyle w:val="6"/>
                    </w:pPr>
                    <w:r>
                      <w:fldChar w:fldCharType="begin"/>
                    </w:r>
                    <w:r>
                      <w:instrText xml:space="preserve"> PAGE  \* MERGEFORMAT </w:instrText>
                    </w:r>
                    <w:r>
                      <w:fldChar w:fldCharType="separate"/>
                    </w:r>
                    <w:r>
                      <w:t>1</w:t>
                    </w:r>
                    <w:r>
                      <w:fldChar w:fldCharType="end"/>
                    </w:r>
                  </w:p>
                </w:txbxContent>
              </v:textbox>
            </v:shape>
          </w:pict>
        </mc:Fallback>
      </mc:AlternateContent>
    </w:r>
  </w:p>
  <w:p>
    <w:pPr>
      <w:pStyle w:val="6"/>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both"/>
    </w:pPr>
    <w:r>
      <mc:AlternateContent>
        <mc:Choice Requires="wps">
          <w:drawing>
            <wp:anchor distT="0" distB="0" distL="114300" distR="114300" simplePos="0" relativeHeight="251670528" behindDoc="0" locked="0" layoutInCell="1" allowOverlap="1">
              <wp:simplePos x="0" y="0"/>
              <wp:positionH relativeFrom="margin">
                <wp:align>center</wp:align>
              </wp:positionH>
              <wp:positionV relativeFrom="paragraph">
                <wp:posOffset>0</wp:posOffset>
              </wp:positionV>
              <wp:extent cx="1828800" cy="1828800"/>
              <wp:effectExtent l="0" t="0" r="0" b="0"/>
              <wp:wrapNone/>
              <wp:docPr id="12" name="文本框 1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6"/>
                          </w:pPr>
                          <w:r>
                            <w:fldChar w:fldCharType="begin"/>
                          </w:r>
                          <w:r>
                            <w:instrText xml:space="preserve"> PAGE  \* MERGEFORMAT </w:instrText>
                          </w:r>
                          <w:r>
                            <w:fldChar w:fldCharType="separate"/>
                          </w:r>
                          <w:r>
                            <w:t>3</w:t>
                          </w:r>
                          <w:r>
                            <w:fldChar w:fldCharType="end"/>
                          </w:r>
                        </w:p>
                      </w:txbxContent>
                    </wps:txbx>
                    <wps:bodyPr wrap="none" lIns="0" tIns="0" rIns="0" bIns="0" upright="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052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BQbpw9yQEAAJsDAAAOAAAAAAAAAAEAIAAAAB4BAABkcnMvZTJvRG9j&#10;LnhtbFBLBQYAAAAABgAGAFkBAABZBQAAAAA=&#10;">
              <v:fill on="f" focussize="0,0"/>
              <v:stroke on="f"/>
              <v:imagedata o:title=""/>
              <o:lock v:ext="edit" aspectratio="f"/>
              <v:textbox inset="0mm,0mm,0mm,0mm" style="mso-fit-shape-to-text:t;">
                <w:txbxContent>
                  <w:p>
                    <w:pPr>
                      <w:pStyle w:val="6"/>
                    </w:pPr>
                    <w:r>
                      <w:fldChar w:fldCharType="begin"/>
                    </w:r>
                    <w:r>
                      <w:instrText xml:space="preserve"> PAGE  \* MERGEFORMAT </w:instrText>
                    </w:r>
                    <w:r>
                      <w:fldChar w:fldCharType="separate"/>
                    </w:r>
                    <w:r>
                      <w:t>3</w:t>
                    </w:r>
                    <w:r>
                      <w:fldChar w:fldCharType="end"/>
                    </w:r>
                  </w:p>
                </w:txbxContent>
              </v:textbox>
            </v:shape>
          </w:pict>
        </mc:Fallback>
      </mc:AlternateContent>
    </w:r>
    <w: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1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6"/>
                            <w:jc w:val="center"/>
                            <w:rPr>
                              <w:rFonts w:hint="eastAsia"/>
                            </w:rPr>
                          </w:pPr>
                        </w:p>
                      </w:txbxContent>
                    </wps:txbx>
                    <wps:bodyPr wrap="none" lIns="0" tIns="0" rIns="0" bIns="0" upright="1">
                      <a:spAutoFit/>
                    </wps:bodyPr>
                  </wps:wsp>
                </a:graphicData>
              </a:graphic>
            </wp:anchor>
          </w:drawing>
        </mc:Choice>
        <mc:Fallback>
          <w:pict>
            <v:shape id="文本框 13"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Axn3huyQEAAJoDAAAOAAAAAAAAAAEAIAAAAB4BAABkcnMvZTJvRG9j&#10;LnhtbFBLBQYAAAAABgAGAFkBAABZBQAAAAA=&#10;">
              <v:fill on="f" focussize="0,0"/>
              <v:stroke on="f"/>
              <v:imagedata o:title=""/>
              <o:lock v:ext="edit" aspectratio="f"/>
              <v:textbox inset="0mm,0mm,0mm,0mm" style="mso-fit-shape-to-text:t;">
                <w:txbxContent>
                  <w:p>
                    <w:pPr>
                      <w:pStyle w:val="6"/>
                      <w:jc w:val="center"/>
                      <w:rPr>
                        <w:rFonts w:hint="eastAsia"/>
                      </w:rPr>
                    </w:pPr>
                  </w:p>
                </w:txbxContent>
              </v:textbox>
            </v:shape>
          </w:pict>
        </mc:Fallback>
      </mc:AlternateContent>
    </w:r>
  </w:p>
  <w:p>
    <w:pPr>
      <w:pStyle w:val="6"/>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both"/>
    </w:pPr>
    <w:r>
      <mc:AlternateContent>
        <mc:Choice Requires="wps">
          <w:drawing>
            <wp:anchor distT="0" distB="0" distL="114300" distR="114300" simplePos="0" relativeHeight="251673600" behindDoc="0" locked="0" layoutInCell="1" allowOverlap="1">
              <wp:simplePos x="0" y="0"/>
              <wp:positionH relativeFrom="margin">
                <wp:align>center</wp:align>
              </wp:positionH>
              <wp:positionV relativeFrom="paragraph">
                <wp:posOffset>0</wp:posOffset>
              </wp:positionV>
              <wp:extent cx="1828800" cy="1828800"/>
              <wp:effectExtent l="0" t="0" r="0" b="0"/>
              <wp:wrapNone/>
              <wp:docPr id="15" name="文本框 1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6"/>
                            <w:jc w:val="center"/>
                            <w:rPr>
                              <w:rFonts w:hint="eastAsia"/>
                            </w:rPr>
                          </w:pPr>
                        </w:p>
                      </w:txbxContent>
                    </wps:txbx>
                    <wps:bodyPr wrap="none" lIns="0" tIns="0" rIns="0" bIns="0" upright="1">
                      <a:spAutoFit/>
                    </wps:bodyPr>
                  </wps:wsp>
                </a:graphicData>
              </a:graphic>
            </wp:anchor>
          </w:drawing>
        </mc:Choice>
        <mc:Fallback>
          <w:pict>
            <v:shape id="文本框 18" o:spid="_x0000_s1026" o:spt="202" type="#_x0000_t202" style="position:absolute;left:0pt;margin-top:0pt;height:144pt;width:144pt;mso-position-horizontal:center;mso-position-horizontal-relative:margin;mso-wrap-style:none;z-index:25167360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AAAAAZHJzL1BL&#10;AQIUABQAAAAIAIdO4kDOqXm5zwAAAAUBAAAPAAAAAAAAAAEAIAAAACIAAABkcnMvZG93bnJldi54&#10;bWxQSwECFAAUAAAACACHTuJAxjfRycoBAACbAwAADgAAAAAAAAABACAAAAAeAQAAZHJzL2Uyb0Rv&#10;Yy54bWxQSwUGAAAAAAYABgBZAQAAWgUAAAAA&#10;">
              <v:fill on="f" focussize="0,0"/>
              <v:stroke on="f"/>
              <v:imagedata o:title=""/>
              <o:lock v:ext="edit" aspectratio="f"/>
              <v:textbox inset="0mm,0mm,0mm,0mm" style="mso-fit-shape-to-text:t;">
                <w:txbxContent>
                  <w:p>
                    <w:pPr>
                      <w:pStyle w:val="6"/>
                      <w:jc w:val="center"/>
                      <w:rPr>
                        <w:rFonts w:hint="eastAsia"/>
                      </w:rPr>
                    </w:pPr>
                  </w:p>
                </w:txbxContent>
              </v:textbox>
            </v:shape>
          </w:pict>
        </mc:Fallback>
      </mc:AlternateContent>
    </w:r>
  </w:p>
  <w:p>
    <w:pPr>
      <w:pStyle w:val="6"/>
    </w:pP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both"/>
    </w:pPr>
    <w:r>
      <mc:AlternateContent>
        <mc:Choice Requires="wps">
          <w:drawing>
            <wp:anchor distT="0" distB="0" distL="114300" distR="114300" simplePos="0" relativeHeight="251672576" behindDoc="0" locked="0" layoutInCell="1" allowOverlap="1">
              <wp:simplePos x="0" y="0"/>
              <wp:positionH relativeFrom="margin">
                <wp:align>center</wp:align>
              </wp:positionH>
              <wp:positionV relativeFrom="paragraph">
                <wp:posOffset>0</wp:posOffset>
              </wp:positionV>
              <wp:extent cx="1828800" cy="1828800"/>
              <wp:effectExtent l="0" t="0" r="0" b="0"/>
              <wp:wrapNone/>
              <wp:docPr id="14" name="文本框 1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6"/>
                            <w:jc w:val="center"/>
                            <w:rPr>
                              <w:rFonts w:hint="eastAsia"/>
                            </w:rPr>
                          </w:pPr>
                        </w:p>
                      </w:txbxContent>
                    </wps:txbx>
                    <wps:bodyPr wrap="none" lIns="0" tIns="0" rIns="0" bIns="0" upright="1">
                      <a:spAutoFit/>
                    </wps:bodyPr>
                  </wps:wsp>
                </a:graphicData>
              </a:graphic>
            </wp:anchor>
          </w:drawing>
        </mc:Choice>
        <mc:Fallback>
          <w:pict>
            <v:shape id="文本框 16" o:spid="_x0000_s1026" o:spt="202" type="#_x0000_t202" style="position:absolute;left:0pt;margin-top:0pt;height:144pt;width:144pt;mso-position-horizontal:center;mso-position-horizontal-relative:margin;mso-wrap-style:none;z-index:251672576;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AAAAAZHJzL1BL&#10;AQIUABQAAAAIAIdO4kDOqXm5zwAAAAUBAAAPAAAAAAAAAAEAIAAAACIAAABkcnMvZG93bnJldi54&#10;bWxQSwECFAAUAAAACACHTuJAYac2gsoBAACbAwAADgAAAAAAAAABACAAAAAeAQAAZHJzL2Uyb0Rv&#10;Yy54bWxQSwUGAAAAAAYABgBZAQAAWgUAAAAA&#10;">
              <v:fill on="f" focussize="0,0"/>
              <v:stroke on="f"/>
              <v:imagedata o:title=""/>
              <o:lock v:ext="edit" aspectratio="f"/>
              <v:textbox inset="0mm,0mm,0mm,0mm" style="mso-fit-shape-to-text:t;">
                <w:txbxContent>
                  <w:p>
                    <w:pPr>
                      <w:pStyle w:val="6"/>
                      <w:jc w:val="center"/>
                      <w:rPr>
                        <w:rFonts w:hint="eastAsia"/>
                      </w:rPr>
                    </w:pPr>
                  </w:p>
                </w:txbxContent>
              </v:textbox>
            </v:shape>
          </w:pict>
        </mc:Fallback>
      </mc:AlternateContent>
    </w:r>
  </w:p>
  <w:p>
    <w:pPr>
      <w:pStyle w:val="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6"/>
                          </w:pPr>
                        </w:p>
                      </w:txbxContent>
                    </wps:txbx>
                    <wps:bodyPr wrap="none" lIns="0" tIns="0" rIns="0" bIns="0" upright="1">
                      <a:spAutoFit/>
                    </wps:bodyPr>
                  </wps:wsp>
                </a:graphicData>
              </a:graphic>
            </wp:anchor>
          </w:drawing>
        </mc:Choice>
        <mc:Fallback>
          <w:pict>
            <v:shape id="文本框 2"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D9xLA7IAQAAmQMAAA4AAAAAAAAAAQAgAAAAHgEAAGRycy9lMm9Eb2Mu&#10;eG1sUEsFBgAAAAAGAAYAWQEAAFgFAAAAAA==&#10;">
              <v:fill on="f" focussize="0,0"/>
              <v:stroke on="f"/>
              <v:imagedata o:title=""/>
              <o:lock v:ext="edit" aspectratio="f"/>
              <v:textbox inset="0mm,0mm,0mm,0mm" style="mso-fit-shape-to-text:t;">
                <w:txbxContent>
                  <w:p>
                    <w:pPr>
                      <w:pStyle w:val="6"/>
                    </w:pP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center"/>
    </w:pPr>
  </w:p>
  <w:p>
    <w:pPr>
      <w:pStyle w:val="6"/>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center"/>
    </w:pPr>
    <w:r>
      <mc:AlternateContent>
        <mc:Choice Requires="wps">
          <w:drawing>
            <wp:anchor distT="0" distB="0" distL="114300" distR="114300" simplePos="0" relativeHeight="251671552" behindDoc="0" locked="0" layoutInCell="1" allowOverlap="1">
              <wp:simplePos x="0" y="0"/>
              <wp:positionH relativeFrom="margin">
                <wp:align>center</wp:align>
              </wp:positionH>
              <wp:positionV relativeFrom="paragraph">
                <wp:posOffset>0</wp:posOffset>
              </wp:positionV>
              <wp:extent cx="1828800" cy="1828800"/>
              <wp:effectExtent l="0" t="0" r="0" b="0"/>
              <wp:wrapNone/>
              <wp:docPr id="13" name="文本框 1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6"/>
                          </w:pPr>
                          <w:r>
                            <w:fldChar w:fldCharType="begin"/>
                          </w:r>
                          <w:r>
                            <w:instrText xml:space="preserve"> PAGE  \* MERGEFORMAT </w:instrText>
                          </w:r>
                          <w:r>
                            <w:fldChar w:fldCharType="separate"/>
                          </w:r>
                          <w:r>
                            <w:t>1</w:t>
                          </w:r>
                          <w:r>
                            <w:fldChar w:fldCharType="end"/>
                          </w:r>
                        </w:p>
                      </w:txbxContent>
                    </wps:txbx>
                    <wps:bodyPr wrap="none" lIns="0" tIns="0" rIns="0" bIns="0" upright="1">
                      <a:spAutoFit/>
                    </wps:bodyPr>
                  </wps:wsp>
                </a:graphicData>
              </a:graphic>
            </wp:anchor>
          </w:drawing>
        </mc:Choice>
        <mc:Fallback>
          <w:pict>
            <v:shape id="文本框 14" o:spid="_x0000_s1026" o:spt="202" type="#_x0000_t202" style="position:absolute;left:0pt;margin-top:0pt;height:144pt;width:144pt;mso-position-horizontal:center;mso-position-horizontal-relative:margin;mso-wrap-style:none;z-index:251671552;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AAAAAZHJzL1BL&#10;AQIUABQAAAAIAIdO4kDOqXm5zwAAAAUBAAAPAAAAAAAAAAEAIAAAACIAAABkcnMvZG93bnJldi54&#10;bWxQSwECFAAUAAAACACHTuJA/9bhrMoBAACbAwAADgAAAAAAAAABACAAAAAeAQAAZHJzL2Uyb0Rv&#10;Yy54bWxQSwUGAAAAAAYABgBZAQAAWgUAAAAA&#10;">
              <v:fill on="f" focussize="0,0"/>
              <v:stroke on="f"/>
              <v:imagedata o:title=""/>
              <o:lock v:ext="edit" aspectratio="f"/>
              <v:textbox inset="0mm,0mm,0mm,0mm" style="mso-fit-shape-to-text:t;">
                <w:txbxContent>
                  <w:p>
                    <w:pPr>
                      <w:pStyle w:val="6"/>
                    </w:pPr>
                    <w:r>
                      <w:fldChar w:fldCharType="begin"/>
                    </w:r>
                    <w:r>
                      <w:instrText xml:space="preserve"> PAGE  \* MERGEFORMAT </w:instrText>
                    </w:r>
                    <w:r>
                      <w:fldChar w:fldCharType="separate"/>
                    </w:r>
                    <w:r>
                      <w:t>1</w:t>
                    </w:r>
                    <w:r>
                      <w:fldChar w:fldCharType="end"/>
                    </w:r>
                  </w:p>
                </w:txbxContent>
              </v:textbox>
            </v:shape>
          </w:pict>
        </mc:Fallback>
      </mc:AlternateContent>
    </w:r>
  </w:p>
  <w:p>
    <w:pPr>
      <w:pStyle w:val="6"/>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both"/>
    </w:pPr>
    <w:r>
      <mc:AlternateContent>
        <mc:Choice Requires="wps">
          <w:drawing>
            <wp:anchor distT="0" distB="0" distL="114300" distR="114300" simplePos="0" relativeHeight="251666432" behindDoc="0" locked="0" layoutInCell="1" allowOverlap="1">
              <wp:simplePos x="0" y="0"/>
              <wp:positionH relativeFrom="margin">
                <wp:align>center</wp:align>
              </wp:positionH>
              <wp:positionV relativeFrom="paragraph">
                <wp:posOffset>0</wp:posOffset>
              </wp:positionV>
              <wp:extent cx="1828800" cy="1828800"/>
              <wp:effectExtent l="0" t="0" r="0" b="0"/>
              <wp:wrapNone/>
              <wp:docPr id="8"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6"/>
                          </w:pPr>
                          <w:r>
                            <w:fldChar w:fldCharType="begin"/>
                          </w:r>
                          <w:r>
                            <w:instrText xml:space="preserve"> PAGE  \* MERGEFORMAT </w:instrText>
                          </w:r>
                          <w:r>
                            <w:fldChar w:fldCharType="separate"/>
                          </w:r>
                          <w:r>
                            <w:t>3</w:t>
                          </w:r>
                          <w:r>
                            <w:fldChar w:fldCharType="end"/>
                          </w:r>
                        </w:p>
                      </w:txbxContent>
                    </wps:txbx>
                    <wps:bodyPr wrap="none" lIns="0" tIns="0" rIns="0" bIns="0" upright="1">
                      <a:spAutoFit/>
                    </wps:bodyPr>
                  </wps:wsp>
                </a:graphicData>
              </a:graphic>
            </wp:anchor>
          </w:drawing>
        </mc:Choice>
        <mc:Fallback>
          <w:pict>
            <v:shape id="文本框 4" o:spid="_x0000_s1026" o:spt="202" type="#_x0000_t202" style="position:absolute;left:0pt;margin-top:0pt;height:144pt;width:144pt;mso-position-horizontal:center;mso-position-horizontal-relative:margin;mso-wrap-style:none;z-index:251666432;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CcdKy/IAQAAmQMAAA4AAAAAAAAAAQAgAAAAHgEAAGRycy9lMm9Eb2Mu&#10;eG1sUEsFBgAAAAAGAAYAWQEAAFgFAAAAAA==&#10;">
              <v:fill on="f" focussize="0,0"/>
              <v:stroke on="f"/>
              <v:imagedata o:title=""/>
              <o:lock v:ext="edit" aspectratio="f"/>
              <v:textbox inset="0mm,0mm,0mm,0mm" style="mso-fit-shape-to-text:t;">
                <w:txbxContent>
                  <w:p>
                    <w:pPr>
                      <w:pStyle w:val="6"/>
                    </w:pPr>
                    <w:r>
                      <w:fldChar w:fldCharType="begin"/>
                    </w:r>
                    <w:r>
                      <w:instrText xml:space="preserve"> PAGE  \* MERGEFORMAT </w:instrText>
                    </w:r>
                    <w:r>
                      <w:fldChar w:fldCharType="separate"/>
                    </w:r>
                    <w:r>
                      <w:t>3</w:t>
                    </w:r>
                    <w:r>
                      <w:fldChar w:fldCharType="end"/>
                    </w:r>
                  </w:p>
                </w:txbxContent>
              </v:textbox>
            </v:shape>
          </w:pict>
        </mc:Fallback>
      </mc:AlternateContent>
    </w: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6"/>
                            <w:jc w:val="center"/>
                            <w:rPr>
                              <w:rFonts w:hint="eastAsia"/>
                            </w:rPr>
                          </w:pPr>
                        </w:p>
                      </w:txbxContent>
                    </wps:txbx>
                    <wps:bodyPr wrap="none" lIns="0" tIns="0" rIns="0" bIns="0" upright="1">
                      <a:spAutoFit/>
                    </wps:bodyPr>
                  </wps:wsp>
                </a:graphicData>
              </a:graphic>
            </wp:anchor>
          </w:drawing>
        </mc:Choice>
        <mc:Fallback>
          <w:pict>
            <v:shape id="文本框 5"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AeYsykyQEAAJkDAAAOAAAAAAAAAAEAIAAAAB4BAABkcnMvZTJvRG9j&#10;LnhtbFBLBQYAAAAABgAGAFkBAABZBQAAAAA=&#10;">
              <v:fill on="f" focussize="0,0"/>
              <v:stroke on="f"/>
              <v:imagedata o:title=""/>
              <o:lock v:ext="edit" aspectratio="f"/>
              <v:textbox inset="0mm,0mm,0mm,0mm" style="mso-fit-shape-to-text:t;">
                <w:txbxContent>
                  <w:p>
                    <w:pPr>
                      <w:pStyle w:val="6"/>
                      <w:jc w:val="center"/>
                      <w:rPr>
                        <w:rFonts w:hint="eastAsia"/>
                      </w:rPr>
                    </w:pPr>
                  </w:p>
                </w:txbxContent>
              </v:textbox>
            </v:shape>
          </w:pict>
        </mc:Fallback>
      </mc:AlternateContent>
    </w:r>
  </w:p>
  <w:p>
    <w:pPr>
      <w:pStyle w:val="6"/>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both"/>
    </w:pPr>
    <w:r>
      <mc:AlternateContent>
        <mc:Choice Requires="wps">
          <w:drawing>
            <wp:anchor distT="0" distB="0" distL="114300" distR="114300" simplePos="0" relativeHeight="251667456" behindDoc="0" locked="0" layoutInCell="1" allowOverlap="1">
              <wp:simplePos x="0" y="0"/>
              <wp:positionH relativeFrom="margin">
                <wp:align>center</wp:align>
              </wp:positionH>
              <wp:positionV relativeFrom="paragraph">
                <wp:posOffset>0</wp:posOffset>
              </wp:positionV>
              <wp:extent cx="1828800" cy="1828800"/>
              <wp:effectExtent l="0" t="0" r="0" b="0"/>
              <wp:wrapNone/>
              <wp:docPr id="9"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6"/>
                          </w:pPr>
                          <w:r>
                            <w:fldChar w:fldCharType="begin"/>
                          </w:r>
                          <w:r>
                            <w:instrText xml:space="preserve"> PAGE  \* MERGEFORMAT </w:instrText>
                          </w:r>
                          <w:r>
                            <w:fldChar w:fldCharType="separate"/>
                          </w:r>
                          <w:r>
                            <w:t>3</w:t>
                          </w:r>
                          <w:r>
                            <w:fldChar w:fldCharType="end"/>
                          </w:r>
                        </w:p>
                      </w:txbxContent>
                    </wps:txbx>
                    <wps:bodyPr wrap="none" lIns="0" tIns="0" rIns="0" bIns="0" upright="1">
                      <a:spAutoFit/>
                    </wps:bodyPr>
                  </wps:wsp>
                </a:graphicData>
              </a:graphic>
            </wp:anchor>
          </w:drawing>
        </mc:Choice>
        <mc:Fallback>
          <w:pict>
            <v:shape id="文本框 6" o:spid="_x0000_s1026" o:spt="202" type="#_x0000_t202" style="position:absolute;left:0pt;margin-top:0pt;height:144pt;width:144pt;mso-position-horizontal:center;mso-position-horizontal-relative:margin;mso-wrap-style:none;z-index:251667456;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NS0aTXIAQAAmQMAAA4AAAAAAAAAAQAgAAAAHgEAAGRycy9lMm9Eb2Mu&#10;eG1sUEsFBgAAAAAGAAYAWQEAAFgFAAAAAA==&#10;">
              <v:fill on="f" focussize="0,0"/>
              <v:stroke on="f"/>
              <v:imagedata o:title=""/>
              <o:lock v:ext="edit" aspectratio="f"/>
              <v:textbox inset="0mm,0mm,0mm,0mm" style="mso-fit-shape-to-text:t;">
                <w:txbxContent>
                  <w:p>
                    <w:pPr>
                      <w:pStyle w:val="6"/>
                    </w:pPr>
                    <w:r>
                      <w:fldChar w:fldCharType="begin"/>
                    </w:r>
                    <w:r>
                      <w:instrText xml:space="preserve"> PAGE  \* MERGEFORMAT </w:instrText>
                    </w:r>
                    <w:r>
                      <w:fldChar w:fldCharType="separate"/>
                    </w:r>
                    <w:r>
                      <w:t>3</w:t>
                    </w:r>
                    <w:r>
                      <w:fldChar w:fldCharType="end"/>
                    </w:r>
                  </w:p>
                </w:txbxContent>
              </v:textbox>
            </v:shape>
          </w:pict>
        </mc:Fallback>
      </mc:AlternateContent>
    </w: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6"/>
                            <w:jc w:val="center"/>
                            <w:rPr>
                              <w:rFonts w:hint="eastAsia"/>
                            </w:rPr>
                          </w:pPr>
                        </w:p>
                      </w:txbxContent>
                    </wps:txbx>
                    <wps:bodyPr wrap="none" lIns="0" tIns="0" rIns="0" bIns="0" upright="1">
                      <a:spAutoFit/>
                    </wps:bodyPr>
                  </wps:wsp>
                </a:graphicData>
              </a:graphic>
            </wp:anchor>
          </w:drawing>
        </mc:Choice>
        <mc:Fallback>
          <w:pict>
            <v:shape id="文本框 7"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A+MRufIAQAAmQMAAA4AAAAAAAAAAQAgAAAAHgEAAGRycy9lMm9Eb2Mu&#10;eG1sUEsFBgAAAAAGAAYAWQEAAFgFAAAAAA==&#10;">
              <v:fill on="f" focussize="0,0"/>
              <v:stroke on="f"/>
              <v:imagedata o:title=""/>
              <o:lock v:ext="edit" aspectratio="f"/>
              <v:textbox inset="0mm,0mm,0mm,0mm" style="mso-fit-shape-to-text:t;">
                <w:txbxContent>
                  <w:p>
                    <w:pPr>
                      <w:pStyle w:val="6"/>
                      <w:jc w:val="center"/>
                      <w:rPr>
                        <w:rFonts w:hint="eastAsia"/>
                      </w:rPr>
                    </w:pPr>
                  </w:p>
                </w:txbxContent>
              </v:textbox>
            </v:shape>
          </w:pict>
        </mc:Fallback>
      </mc:AlternateContent>
    </w:r>
  </w:p>
  <w:p>
    <w:pPr>
      <w:pStyle w:val="6"/>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both"/>
    </w:pPr>
    <w:r>
      <mc:AlternateContent>
        <mc:Choice Requires="wps">
          <w:drawing>
            <wp:anchor distT="0" distB="0" distL="114300" distR="114300" simplePos="0" relativeHeight="251668480" behindDoc="0" locked="0" layoutInCell="1" allowOverlap="1">
              <wp:simplePos x="0" y="0"/>
              <wp:positionH relativeFrom="margin">
                <wp:align>center</wp:align>
              </wp:positionH>
              <wp:positionV relativeFrom="paragraph">
                <wp:posOffset>0</wp:posOffset>
              </wp:positionV>
              <wp:extent cx="1828800" cy="1828800"/>
              <wp:effectExtent l="0" t="0" r="0" b="0"/>
              <wp:wrapNone/>
              <wp:docPr id="10"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6"/>
                          </w:pPr>
                          <w:r>
                            <w:fldChar w:fldCharType="begin"/>
                          </w:r>
                          <w:r>
                            <w:instrText xml:space="preserve"> PAGE  \* MERGEFORMAT </w:instrText>
                          </w:r>
                          <w:r>
                            <w:fldChar w:fldCharType="separate"/>
                          </w:r>
                          <w:r>
                            <w:t>3</w:t>
                          </w:r>
                          <w:r>
                            <w:fldChar w:fldCharType="end"/>
                          </w:r>
                        </w:p>
                      </w:txbxContent>
                    </wps:txbx>
                    <wps:bodyPr wrap="none" lIns="0" tIns="0" rIns="0" bIns="0" upright="1">
                      <a:spAutoFit/>
                    </wps:bodyPr>
                  </wps:wsp>
                </a:graphicData>
              </a:graphic>
            </wp:anchor>
          </w:drawing>
        </mc:Choice>
        <mc:Fallback>
          <w:pict>
            <v:shape id="文本框 8" o:spid="_x0000_s1026" o:spt="202" type="#_x0000_t202" style="position:absolute;left:0pt;margin-top:0pt;height:144pt;width:144pt;mso-position-horizontal:center;mso-position-horizontal-relative:margin;mso-wrap-style:none;z-index:25166848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JL4kufIAQAAmgMAAA4AAAAAAAAAAQAgAAAAHgEAAGRycy9lMm9Eb2Mu&#10;eG1sUEsFBgAAAAAGAAYAWQEAAFgFAAAAAA==&#10;">
              <v:fill on="f" focussize="0,0"/>
              <v:stroke on="f"/>
              <v:imagedata o:title=""/>
              <o:lock v:ext="edit" aspectratio="f"/>
              <v:textbox inset="0mm,0mm,0mm,0mm" style="mso-fit-shape-to-text:t;">
                <w:txbxContent>
                  <w:p>
                    <w:pPr>
                      <w:pStyle w:val="6"/>
                    </w:pPr>
                    <w:r>
                      <w:fldChar w:fldCharType="begin"/>
                    </w:r>
                    <w:r>
                      <w:instrText xml:space="preserve"> PAGE  \* MERGEFORMAT </w:instrText>
                    </w:r>
                    <w:r>
                      <w:fldChar w:fldCharType="separate"/>
                    </w:r>
                    <w:r>
                      <w:t>3</w:t>
                    </w:r>
                    <w:r>
                      <w:fldChar w:fldCharType="end"/>
                    </w:r>
                  </w:p>
                </w:txbxContent>
              </v:textbox>
            </v:shape>
          </w:pict>
        </mc:Fallback>
      </mc:AlternateContent>
    </w: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6"/>
                            <w:jc w:val="center"/>
                            <w:rPr>
                              <w:rFonts w:hint="eastAsia"/>
                            </w:rPr>
                          </w:pPr>
                        </w:p>
                      </w:txbxContent>
                    </wps:txbx>
                    <wps:bodyPr wrap="none" lIns="0" tIns="0" rIns="0" bIns="0" upright="1">
                      <a:spAutoFit/>
                    </wps:bodyPr>
                  </wps:wsp>
                </a:graphicData>
              </a:graphic>
            </wp:anchor>
          </w:drawing>
        </mc:Choice>
        <mc:Fallback>
          <w:pict>
            <v:shape id="文本框 9"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DwGdNKyQEAAJkDAAAOAAAAAAAAAAEAIAAAAB4BAABkcnMvZTJvRG9j&#10;LnhtbFBLBQYAAAAABgAGAFkBAABZBQAAAAA=&#10;">
              <v:fill on="f" focussize="0,0"/>
              <v:stroke on="f"/>
              <v:imagedata o:title=""/>
              <o:lock v:ext="edit" aspectratio="f"/>
              <v:textbox inset="0mm,0mm,0mm,0mm" style="mso-fit-shape-to-text:t;">
                <w:txbxContent>
                  <w:p>
                    <w:pPr>
                      <w:pStyle w:val="6"/>
                      <w:jc w:val="center"/>
                      <w:rPr>
                        <w:rFonts w:hint="eastAsia"/>
                      </w:rPr>
                    </w:pPr>
                  </w:p>
                </w:txbxContent>
              </v:textbox>
            </v:shape>
          </w:pict>
        </mc:Fallback>
      </mc:AlternateContent>
    </w:r>
  </w:p>
  <w:p>
    <w:pPr>
      <w:pStyle w:val="6"/>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both"/>
    </w:pPr>
    <w:r>
      <mc:AlternateContent>
        <mc:Choice Requires="wps">
          <w:drawing>
            <wp:anchor distT="0" distB="0" distL="114300" distR="114300" simplePos="0" relativeHeight="251669504" behindDoc="0" locked="0" layoutInCell="1" allowOverlap="1">
              <wp:simplePos x="0" y="0"/>
              <wp:positionH relativeFrom="margin">
                <wp:align>center</wp:align>
              </wp:positionH>
              <wp:positionV relativeFrom="paragraph">
                <wp:posOffset>0</wp:posOffset>
              </wp:positionV>
              <wp:extent cx="1828800" cy="1828800"/>
              <wp:effectExtent l="0" t="0" r="0" b="0"/>
              <wp:wrapNone/>
              <wp:docPr id="11" name="文本框 1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6"/>
                          </w:pPr>
                          <w:r>
                            <w:fldChar w:fldCharType="begin"/>
                          </w:r>
                          <w:r>
                            <w:instrText xml:space="preserve"> PAGE  \* MERGEFORMAT </w:instrText>
                          </w:r>
                          <w:r>
                            <w:fldChar w:fldCharType="separate"/>
                          </w:r>
                          <w:r>
                            <w:t>3</w:t>
                          </w:r>
                          <w:r>
                            <w:fldChar w:fldCharType="end"/>
                          </w:r>
                        </w:p>
                      </w:txbxContent>
                    </wps:txbx>
                    <wps:bodyPr wrap="none" lIns="0" tIns="0" rIns="0" bIns="0" upright="1">
                      <a:spAutoFit/>
                    </wps:bodyPr>
                  </wps:wsp>
                </a:graphicData>
              </a:graphic>
            </wp:anchor>
          </w:drawing>
        </mc:Choice>
        <mc:Fallback>
          <w:pict>
            <v:shape id="文本框 10" o:spid="_x0000_s1026" o:spt="202" type="#_x0000_t202" style="position:absolute;left:0pt;margin-top:0pt;height:144pt;width:144pt;mso-position-horizontal:center;mso-position-horizontal-relative:margin;mso-wrap-style:none;z-index:25166950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DoifGPyQEAAJsDAAAOAAAAAAAAAAEAIAAAAB4BAABkcnMvZTJvRG9j&#10;LnhtbFBLBQYAAAAABgAGAFkBAABZBQAAAAA=&#10;">
              <v:fill on="f" focussize="0,0"/>
              <v:stroke on="f"/>
              <v:imagedata o:title=""/>
              <o:lock v:ext="edit" aspectratio="f"/>
              <v:textbox inset="0mm,0mm,0mm,0mm" style="mso-fit-shape-to-text:t;">
                <w:txbxContent>
                  <w:p>
                    <w:pPr>
                      <w:pStyle w:val="6"/>
                    </w:pPr>
                    <w:r>
                      <w:fldChar w:fldCharType="begin"/>
                    </w:r>
                    <w:r>
                      <w:instrText xml:space="preserve"> PAGE  \* MERGEFORMAT </w:instrText>
                    </w:r>
                    <w:r>
                      <w:fldChar w:fldCharType="separate"/>
                    </w:r>
                    <w:r>
                      <w:t>3</w:t>
                    </w:r>
                    <w:r>
                      <w:fldChar w:fldCharType="end"/>
                    </w:r>
                  </w:p>
                </w:txbxContent>
              </v:textbox>
            </v:shape>
          </w:pict>
        </mc:Fallback>
      </mc:AlternateContent>
    </w:r>
    <w: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1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6"/>
                            <w:jc w:val="center"/>
                            <w:rPr>
                              <w:rFonts w:hint="eastAsia"/>
                            </w:rPr>
                          </w:pPr>
                        </w:p>
                      </w:txbxContent>
                    </wps:txbx>
                    <wps:bodyPr wrap="none" lIns="0" tIns="0" rIns="0" bIns="0" upright="1">
                      <a:spAutoFit/>
                    </wps:bodyPr>
                  </wps:wsp>
                </a:graphicData>
              </a:graphic>
            </wp:anchor>
          </w:drawing>
        </mc:Choice>
        <mc:Fallback>
          <w:pict>
            <v:shape id="文本框 11"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AAAAAZHJzL1BL&#10;AQIUABQAAAAIAIdO4kDOqXm5zwAAAAUBAAAPAAAAAAAAAAEAIAAAACIAAABkcnMvZG93bnJldi54&#10;bWxQSwECFAAUAAAACACHTuJAmjNIksoBAACaAwAADgAAAAAAAAABACAAAAAeAQAAZHJzL2Uyb0Rv&#10;Yy54bWxQSwUGAAAAAAYABgBZAQAAWgUAAAAA&#10;">
              <v:fill on="f" focussize="0,0"/>
              <v:stroke on="f"/>
              <v:imagedata o:title=""/>
              <o:lock v:ext="edit" aspectratio="f"/>
              <v:textbox inset="0mm,0mm,0mm,0mm" style="mso-fit-shape-to-text:t;">
                <w:txbxContent>
                  <w:p>
                    <w:pPr>
                      <w:pStyle w:val="6"/>
                      <w:jc w:val="center"/>
                      <w:rPr>
                        <w:rFonts w:hint="eastAsia"/>
                      </w:rPr>
                    </w:pPr>
                  </w:p>
                </w:txbxContent>
              </v:textbox>
            </v:shape>
          </w:pict>
        </mc:Fallback>
      </mc:AlternateContent>
    </w:r>
  </w:p>
  <w:p>
    <w:pPr>
      <w:pStyle w:val="6"/>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pPr>
  </w:p>
  <w:p>
    <w:pPr>
      <w:pStyle w:val="7"/>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jc w:val="left"/>
      <w:rPr>
        <w:b/>
        <w:sz w:val="24"/>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1"/>
    <w:multiLevelType w:val="singleLevel"/>
    <w:tmpl w:val="00000001"/>
    <w:lvl w:ilvl="0" w:tentative="0">
      <w:start w:val="7"/>
      <w:numFmt w:val="chineseCounting"/>
      <w:suff w:val="nothing"/>
      <w:lvlText w:val="%1、"/>
      <w:lvlJc w:val="left"/>
      <w:rPr>
        <w:rFonts w:hint="eastAsia"/>
      </w:rPr>
    </w:lvl>
  </w:abstractNum>
  <w:abstractNum w:abstractNumId="1">
    <w:nsid w:val="00000002"/>
    <w:multiLevelType w:val="singleLevel"/>
    <w:tmpl w:val="00000002"/>
    <w:lvl w:ilvl="0" w:tentative="0">
      <w:start w:val="1"/>
      <w:numFmt w:val="chineseCounting"/>
      <w:suff w:val="nothing"/>
      <w:lvlText w:val="（%1）"/>
      <w:lvlJc w:val="left"/>
      <w:rPr>
        <w:rFonts w:hint="eastAsia"/>
      </w:rPr>
    </w:lvl>
  </w:abstractNum>
  <w:abstractNum w:abstractNumId="2">
    <w:nsid w:val="00000003"/>
    <w:multiLevelType w:val="singleLevel"/>
    <w:tmpl w:val="00000003"/>
    <w:lvl w:ilvl="0" w:tentative="0">
      <w:start w:val="2"/>
      <w:numFmt w:val="chineseCounting"/>
      <w:suff w:val="nothing"/>
      <w:lvlText w:val="%1、"/>
      <w:lvlJc w:val="left"/>
      <w:rPr>
        <w:rFonts w:hint="eastAsia"/>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hyphenationZone w:val="360"/>
  <w:drawingGridHorizontalSpacing w:val="105"/>
  <w:drawingGridVerticalSpacing w:val="156"/>
  <w:displayHorizontalDrawingGridEvery w:val="1"/>
  <w:displayVerticalDrawingGridEvery w:val="1"/>
  <w:doNotShadeFormData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UzZmI0NzMwM2YwMTNkMzljOGI1Yzc1ZDEzZjAzZmEifQ=="/>
  </w:docVars>
  <w:rsids>
    <w:rsidRoot w:val="00172A27"/>
    <w:rsid w:val="00017E8C"/>
    <w:rsid w:val="0003448F"/>
    <w:rsid w:val="00075759"/>
    <w:rsid w:val="0008767B"/>
    <w:rsid w:val="000B0A3E"/>
    <w:rsid w:val="000C0BD7"/>
    <w:rsid w:val="000D5121"/>
    <w:rsid w:val="000F2350"/>
    <w:rsid w:val="0010318B"/>
    <w:rsid w:val="00105660"/>
    <w:rsid w:val="0013209B"/>
    <w:rsid w:val="00142197"/>
    <w:rsid w:val="00142D0D"/>
    <w:rsid w:val="00151A36"/>
    <w:rsid w:val="00192B51"/>
    <w:rsid w:val="001A7A06"/>
    <w:rsid w:val="001B399B"/>
    <w:rsid w:val="001C1F47"/>
    <w:rsid w:val="001C48A3"/>
    <w:rsid w:val="001D2784"/>
    <w:rsid w:val="0020141F"/>
    <w:rsid w:val="00202D9B"/>
    <w:rsid w:val="00207BA6"/>
    <w:rsid w:val="00210368"/>
    <w:rsid w:val="00220529"/>
    <w:rsid w:val="00227977"/>
    <w:rsid w:val="00243857"/>
    <w:rsid w:val="00276810"/>
    <w:rsid w:val="002872A8"/>
    <w:rsid w:val="002A31F1"/>
    <w:rsid w:val="002A68FD"/>
    <w:rsid w:val="002B3EB9"/>
    <w:rsid w:val="002B7640"/>
    <w:rsid w:val="002C6A5B"/>
    <w:rsid w:val="002D668E"/>
    <w:rsid w:val="002E08A6"/>
    <w:rsid w:val="002E0C22"/>
    <w:rsid w:val="002F0327"/>
    <w:rsid w:val="003254BF"/>
    <w:rsid w:val="00325999"/>
    <w:rsid w:val="00327578"/>
    <w:rsid w:val="00336F14"/>
    <w:rsid w:val="003539AC"/>
    <w:rsid w:val="0036770B"/>
    <w:rsid w:val="003B5C39"/>
    <w:rsid w:val="003B7DE8"/>
    <w:rsid w:val="003C5E60"/>
    <w:rsid w:val="003D7A4F"/>
    <w:rsid w:val="00405C56"/>
    <w:rsid w:val="0041681A"/>
    <w:rsid w:val="004448A5"/>
    <w:rsid w:val="0045275C"/>
    <w:rsid w:val="00460A71"/>
    <w:rsid w:val="00482694"/>
    <w:rsid w:val="004D22BB"/>
    <w:rsid w:val="004E028C"/>
    <w:rsid w:val="00550BE9"/>
    <w:rsid w:val="00554979"/>
    <w:rsid w:val="005631E0"/>
    <w:rsid w:val="0056516E"/>
    <w:rsid w:val="00565884"/>
    <w:rsid w:val="00565A5C"/>
    <w:rsid w:val="00573E9B"/>
    <w:rsid w:val="00575270"/>
    <w:rsid w:val="00575D8F"/>
    <w:rsid w:val="00584AE3"/>
    <w:rsid w:val="00593932"/>
    <w:rsid w:val="005F3A00"/>
    <w:rsid w:val="00636FCE"/>
    <w:rsid w:val="00653695"/>
    <w:rsid w:val="00661A8D"/>
    <w:rsid w:val="006800B4"/>
    <w:rsid w:val="006A1118"/>
    <w:rsid w:val="006A6B62"/>
    <w:rsid w:val="006C171E"/>
    <w:rsid w:val="006E10D0"/>
    <w:rsid w:val="006F00C4"/>
    <w:rsid w:val="006F24DB"/>
    <w:rsid w:val="006F41AA"/>
    <w:rsid w:val="006F5F84"/>
    <w:rsid w:val="00736353"/>
    <w:rsid w:val="00757B6E"/>
    <w:rsid w:val="0079063F"/>
    <w:rsid w:val="007A4C3B"/>
    <w:rsid w:val="007D3227"/>
    <w:rsid w:val="007E29B5"/>
    <w:rsid w:val="007E619D"/>
    <w:rsid w:val="00813667"/>
    <w:rsid w:val="00842B8A"/>
    <w:rsid w:val="008440C3"/>
    <w:rsid w:val="0086213F"/>
    <w:rsid w:val="00887929"/>
    <w:rsid w:val="00895A83"/>
    <w:rsid w:val="00896C6E"/>
    <w:rsid w:val="00897CBF"/>
    <w:rsid w:val="008C3B0E"/>
    <w:rsid w:val="008C6B90"/>
    <w:rsid w:val="00910505"/>
    <w:rsid w:val="00914082"/>
    <w:rsid w:val="009360C7"/>
    <w:rsid w:val="009611E6"/>
    <w:rsid w:val="00972030"/>
    <w:rsid w:val="009A3F0E"/>
    <w:rsid w:val="009B51DC"/>
    <w:rsid w:val="009C2DC4"/>
    <w:rsid w:val="009D6AE9"/>
    <w:rsid w:val="009E3AA1"/>
    <w:rsid w:val="009F0FBF"/>
    <w:rsid w:val="00A46BA7"/>
    <w:rsid w:val="00A5546D"/>
    <w:rsid w:val="00A57082"/>
    <w:rsid w:val="00A83EC8"/>
    <w:rsid w:val="00A875D6"/>
    <w:rsid w:val="00A97FF9"/>
    <w:rsid w:val="00AA0408"/>
    <w:rsid w:val="00AB7EE3"/>
    <w:rsid w:val="00AD33EF"/>
    <w:rsid w:val="00AE2E9A"/>
    <w:rsid w:val="00AE57DB"/>
    <w:rsid w:val="00AF38A9"/>
    <w:rsid w:val="00AF5C7A"/>
    <w:rsid w:val="00B056CD"/>
    <w:rsid w:val="00B0704B"/>
    <w:rsid w:val="00B2106C"/>
    <w:rsid w:val="00B41120"/>
    <w:rsid w:val="00B43592"/>
    <w:rsid w:val="00B6240D"/>
    <w:rsid w:val="00B6355B"/>
    <w:rsid w:val="00B8028F"/>
    <w:rsid w:val="00BA0850"/>
    <w:rsid w:val="00BC153E"/>
    <w:rsid w:val="00BD3797"/>
    <w:rsid w:val="00BD68BB"/>
    <w:rsid w:val="00BE022F"/>
    <w:rsid w:val="00BE493D"/>
    <w:rsid w:val="00C00089"/>
    <w:rsid w:val="00C05B9E"/>
    <w:rsid w:val="00C10E90"/>
    <w:rsid w:val="00C24E16"/>
    <w:rsid w:val="00C30424"/>
    <w:rsid w:val="00C3479D"/>
    <w:rsid w:val="00C621A8"/>
    <w:rsid w:val="00C63C7B"/>
    <w:rsid w:val="00C9656D"/>
    <w:rsid w:val="00C974DE"/>
    <w:rsid w:val="00CA4916"/>
    <w:rsid w:val="00CA67A5"/>
    <w:rsid w:val="00CC4445"/>
    <w:rsid w:val="00CD5BCC"/>
    <w:rsid w:val="00CE2E52"/>
    <w:rsid w:val="00D14FB1"/>
    <w:rsid w:val="00D15D26"/>
    <w:rsid w:val="00D31F9D"/>
    <w:rsid w:val="00D41E3D"/>
    <w:rsid w:val="00D56CE7"/>
    <w:rsid w:val="00D628D0"/>
    <w:rsid w:val="00D71B30"/>
    <w:rsid w:val="00D8102C"/>
    <w:rsid w:val="00D85DD6"/>
    <w:rsid w:val="00D924E3"/>
    <w:rsid w:val="00DB18B9"/>
    <w:rsid w:val="00DC0F0D"/>
    <w:rsid w:val="00DC2DB0"/>
    <w:rsid w:val="00DD3842"/>
    <w:rsid w:val="00DE49BA"/>
    <w:rsid w:val="00DE4A30"/>
    <w:rsid w:val="00DE6A33"/>
    <w:rsid w:val="00DE6DAA"/>
    <w:rsid w:val="00DF26F5"/>
    <w:rsid w:val="00E077B9"/>
    <w:rsid w:val="00E17614"/>
    <w:rsid w:val="00E62183"/>
    <w:rsid w:val="00E639E5"/>
    <w:rsid w:val="00E91286"/>
    <w:rsid w:val="00EA2D34"/>
    <w:rsid w:val="00EA4FFB"/>
    <w:rsid w:val="00EB42B3"/>
    <w:rsid w:val="00EC006A"/>
    <w:rsid w:val="00ED1B19"/>
    <w:rsid w:val="00ED6E4C"/>
    <w:rsid w:val="00EF018D"/>
    <w:rsid w:val="00F12FC9"/>
    <w:rsid w:val="00F2343B"/>
    <w:rsid w:val="00F26FD1"/>
    <w:rsid w:val="00F85E67"/>
    <w:rsid w:val="00F87A10"/>
    <w:rsid w:val="00FB61CD"/>
    <w:rsid w:val="00FD0B26"/>
    <w:rsid w:val="00FD13F9"/>
    <w:rsid w:val="00FD2E0B"/>
    <w:rsid w:val="00FD50BD"/>
    <w:rsid w:val="00FE78FC"/>
    <w:rsid w:val="00FF5099"/>
    <w:rsid w:val="01D1136B"/>
    <w:rsid w:val="01E738CD"/>
    <w:rsid w:val="02F33BE6"/>
    <w:rsid w:val="03E93244"/>
    <w:rsid w:val="04083BFB"/>
    <w:rsid w:val="04094F3E"/>
    <w:rsid w:val="0462668B"/>
    <w:rsid w:val="04894EBA"/>
    <w:rsid w:val="04C115F9"/>
    <w:rsid w:val="04C33F66"/>
    <w:rsid w:val="04DF64F0"/>
    <w:rsid w:val="04FB49AF"/>
    <w:rsid w:val="062155C8"/>
    <w:rsid w:val="067D155B"/>
    <w:rsid w:val="068A01B3"/>
    <w:rsid w:val="0701218C"/>
    <w:rsid w:val="07D54034"/>
    <w:rsid w:val="0801448B"/>
    <w:rsid w:val="0926412B"/>
    <w:rsid w:val="0A71794F"/>
    <w:rsid w:val="0AA51BD0"/>
    <w:rsid w:val="0C877483"/>
    <w:rsid w:val="0D3037CB"/>
    <w:rsid w:val="0D906382"/>
    <w:rsid w:val="0DB60078"/>
    <w:rsid w:val="0E343B13"/>
    <w:rsid w:val="0E3F4C33"/>
    <w:rsid w:val="0F276CB5"/>
    <w:rsid w:val="100E1090"/>
    <w:rsid w:val="10500B55"/>
    <w:rsid w:val="10AB317E"/>
    <w:rsid w:val="117F0C9B"/>
    <w:rsid w:val="11D758E5"/>
    <w:rsid w:val="13490007"/>
    <w:rsid w:val="139838F6"/>
    <w:rsid w:val="13FEB4F5"/>
    <w:rsid w:val="147F040F"/>
    <w:rsid w:val="14B178FB"/>
    <w:rsid w:val="15836462"/>
    <w:rsid w:val="18B30F9A"/>
    <w:rsid w:val="19D11295"/>
    <w:rsid w:val="1A48481A"/>
    <w:rsid w:val="1AF229BC"/>
    <w:rsid w:val="1B1A23BD"/>
    <w:rsid w:val="1B8D37F6"/>
    <w:rsid w:val="1BDF5A3F"/>
    <w:rsid w:val="1CCC6940"/>
    <w:rsid w:val="1D6245D7"/>
    <w:rsid w:val="1E22201E"/>
    <w:rsid w:val="1E542225"/>
    <w:rsid w:val="213276BA"/>
    <w:rsid w:val="21354B49"/>
    <w:rsid w:val="21712142"/>
    <w:rsid w:val="21D60E66"/>
    <w:rsid w:val="220B11D1"/>
    <w:rsid w:val="223615FD"/>
    <w:rsid w:val="226217E3"/>
    <w:rsid w:val="23FC771D"/>
    <w:rsid w:val="247E2620"/>
    <w:rsid w:val="253372A1"/>
    <w:rsid w:val="253B7C86"/>
    <w:rsid w:val="26254C3E"/>
    <w:rsid w:val="263E08AF"/>
    <w:rsid w:val="27FE803D"/>
    <w:rsid w:val="28A16A60"/>
    <w:rsid w:val="28C3509B"/>
    <w:rsid w:val="293E718A"/>
    <w:rsid w:val="296530EA"/>
    <w:rsid w:val="29B22C50"/>
    <w:rsid w:val="29D84B76"/>
    <w:rsid w:val="2A842608"/>
    <w:rsid w:val="2AED63FF"/>
    <w:rsid w:val="2BFC104B"/>
    <w:rsid w:val="2CCB09C2"/>
    <w:rsid w:val="2D1F7398"/>
    <w:rsid w:val="2D3B0A4F"/>
    <w:rsid w:val="2E1354C5"/>
    <w:rsid w:val="2E2667B6"/>
    <w:rsid w:val="2F7C5D20"/>
    <w:rsid w:val="2FBB2F70"/>
    <w:rsid w:val="3030302C"/>
    <w:rsid w:val="36B63711"/>
    <w:rsid w:val="36D07FBB"/>
    <w:rsid w:val="36F11025"/>
    <w:rsid w:val="375C4734"/>
    <w:rsid w:val="37F471F4"/>
    <w:rsid w:val="39567866"/>
    <w:rsid w:val="3980003B"/>
    <w:rsid w:val="39BA1B36"/>
    <w:rsid w:val="39E321A6"/>
    <w:rsid w:val="3A085004"/>
    <w:rsid w:val="3A7F170B"/>
    <w:rsid w:val="3AC834FB"/>
    <w:rsid w:val="3AF8114D"/>
    <w:rsid w:val="3B27346F"/>
    <w:rsid w:val="3BFE3762"/>
    <w:rsid w:val="3D113D5C"/>
    <w:rsid w:val="3D1734EF"/>
    <w:rsid w:val="3D75BF58"/>
    <w:rsid w:val="3E3725CB"/>
    <w:rsid w:val="3E4BC5A9"/>
    <w:rsid w:val="3E8F7DD2"/>
    <w:rsid w:val="3EC15E61"/>
    <w:rsid w:val="3EED96BE"/>
    <w:rsid w:val="405F5252"/>
    <w:rsid w:val="41293E1E"/>
    <w:rsid w:val="418D5DEE"/>
    <w:rsid w:val="41EA4723"/>
    <w:rsid w:val="427F3386"/>
    <w:rsid w:val="42B76219"/>
    <w:rsid w:val="43187421"/>
    <w:rsid w:val="4348756F"/>
    <w:rsid w:val="458E727F"/>
    <w:rsid w:val="47684EE4"/>
    <w:rsid w:val="476F3BBF"/>
    <w:rsid w:val="47752438"/>
    <w:rsid w:val="48542CF3"/>
    <w:rsid w:val="485638FC"/>
    <w:rsid w:val="48BB3A9D"/>
    <w:rsid w:val="4A5566CE"/>
    <w:rsid w:val="4C3E48B5"/>
    <w:rsid w:val="4C8927C8"/>
    <w:rsid w:val="4D5819A6"/>
    <w:rsid w:val="4D741BB4"/>
    <w:rsid w:val="4DF062C1"/>
    <w:rsid w:val="4E61761A"/>
    <w:rsid w:val="4F4E09EB"/>
    <w:rsid w:val="4F785F3D"/>
    <w:rsid w:val="4FE37C4D"/>
    <w:rsid w:val="4FEC63D6"/>
    <w:rsid w:val="4FFA1B36"/>
    <w:rsid w:val="50352D7B"/>
    <w:rsid w:val="50507F21"/>
    <w:rsid w:val="50D81362"/>
    <w:rsid w:val="51567F7F"/>
    <w:rsid w:val="51E77A29"/>
    <w:rsid w:val="524424F9"/>
    <w:rsid w:val="527D7845"/>
    <w:rsid w:val="52FB0C9A"/>
    <w:rsid w:val="54F10B1C"/>
    <w:rsid w:val="54F92D7B"/>
    <w:rsid w:val="55611BA3"/>
    <w:rsid w:val="557734FF"/>
    <w:rsid w:val="559A4D05"/>
    <w:rsid w:val="55EB33DE"/>
    <w:rsid w:val="57DE1534"/>
    <w:rsid w:val="580B77FB"/>
    <w:rsid w:val="582F1A40"/>
    <w:rsid w:val="58342BEB"/>
    <w:rsid w:val="58500D16"/>
    <w:rsid w:val="592A606C"/>
    <w:rsid w:val="59AA26DE"/>
    <w:rsid w:val="5B0F5493"/>
    <w:rsid w:val="5B5163B3"/>
    <w:rsid w:val="5B8C69D1"/>
    <w:rsid w:val="5B975D90"/>
    <w:rsid w:val="5CCF1DFF"/>
    <w:rsid w:val="5D696818"/>
    <w:rsid w:val="5D9FDA20"/>
    <w:rsid w:val="5E863D42"/>
    <w:rsid w:val="5E8A0BEB"/>
    <w:rsid w:val="5E8F6E6A"/>
    <w:rsid w:val="5EE74938"/>
    <w:rsid w:val="5F623AD3"/>
    <w:rsid w:val="5F782468"/>
    <w:rsid w:val="5FC8150A"/>
    <w:rsid w:val="5FDFD17C"/>
    <w:rsid w:val="61E87405"/>
    <w:rsid w:val="623A10B6"/>
    <w:rsid w:val="62763922"/>
    <w:rsid w:val="636C1DC2"/>
    <w:rsid w:val="639332E1"/>
    <w:rsid w:val="63DC2177"/>
    <w:rsid w:val="66502F76"/>
    <w:rsid w:val="6701188C"/>
    <w:rsid w:val="67D4002D"/>
    <w:rsid w:val="68111128"/>
    <w:rsid w:val="69356DAF"/>
    <w:rsid w:val="6AB27E56"/>
    <w:rsid w:val="6B7FCFED"/>
    <w:rsid w:val="6B8731BF"/>
    <w:rsid w:val="6DDB1555"/>
    <w:rsid w:val="6EA87D1D"/>
    <w:rsid w:val="6ED8633F"/>
    <w:rsid w:val="6ED957F0"/>
    <w:rsid w:val="6F375431"/>
    <w:rsid w:val="6F4C7742"/>
    <w:rsid w:val="6F883341"/>
    <w:rsid w:val="6F9B5D32"/>
    <w:rsid w:val="70CC176D"/>
    <w:rsid w:val="71724535"/>
    <w:rsid w:val="718D5123"/>
    <w:rsid w:val="729055BB"/>
    <w:rsid w:val="7329629F"/>
    <w:rsid w:val="73682094"/>
    <w:rsid w:val="73985A41"/>
    <w:rsid w:val="73ED1B42"/>
    <w:rsid w:val="74D67874"/>
    <w:rsid w:val="76692334"/>
    <w:rsid w:val="770C2D36"/>
    <w:rsid w:val="77977A24"/>
    <w:rsid w:val="786C6182"/>
    <w:rsid w:val="79351F7D"/>
    <w:rsid w:val="7ABD7274"/>
    <w:rsid w:val="7BA6FECC"/>
    <w:rsid w:val="7C275F59"/>
    <w:rsid w:val="7CCF6E53"/>
    <w:rsid w:val="7D9255F5"/>
    <w:rsid w:val="7DFB4115"/>
    <w:rsid w:val="7E372C9A"/>
    <w:rsid w:val="7E77F998"/>
    <w:rsid w:val="7EFF49E9"/>
    <w:rsid w:val="7F34EC47"/>
    <w:rsid w:val="7F5259A6"/>
    <w:rsid w:val="7F791196"/>
    <w:rsid w:val="7F8E6BB1"/>
    <w:rsid w:val="7FD95221"/>
    <w:rsid w:val="7FDF0F0C"/>
    <w:rsid w:val="BD73E0B7"/>
    <w:rsid w:val="BF7608F5"/>
    <w:rsid w:val="BFBF23D4"/>
    <w:rsid w:val="BFD6B480"/>
    <w:rsid w:val="BFDFF672"/>
    <w:rsid w:val="BFEE9289"/>
    <w:rsid w:val="C8FFC67E"/>
    <w:rsid w:val="DBF9D19A"/>
    <w:rsid w:val="DF776FF2"/>
    <w:rsid w:val="EC7B7EA1"/>
    <w:rsid w:val="FA6F117F"/>
    <w:rsid w:val="FD3FC9DC"/>
    <w:rsid w:val="FDBA3486"/>
    <w:rsid w:val="FFFFE2BF"/>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11">
    <w:name w:val="Default Paragraph Font"/>
    <w:qFormat/>
    <w:uiPriority w:val="0"/>
    <w:rPr>
      <w:rFonts w:ascii="Times New Roman" w:hAnsi="Times New Roman" w:eastAsia="宋体" w:cs="Times New Roman"/>
    </w:rPr>
  </w:style>
  <w:style w:type="table" w:default="1" w:styleId="9">
    <w:name w:val="Normal Table"/>
    <w:uiPriority w:val="0"/>
    <w:rPr>
      <w:rFonts w:ascii="Times New Roman" w:hAnsi="Times New Roman" w:eastAsia="宋体" w:cs="Times New Roman"/>
    </w:rPr>
    <w:tblPr>
      <w:tblCellMar>
        <w:top w:w="0" w:type="dxa"/>
        <w:left w:w="108" w:type="dxa"/>
        <w:bottom w:w="0" w:type="dxa"/>
        <w:right w:w="108" w:type="dxa"/>
      </w:tblCellMar>
    </w:tblPr>
  </w:style>
  <w:style w:type="paragraph" w:styleId="2">
    <w:name w:val="Body Text"/>
    <w:basedOn w:val="1"/>
    <w:qFormat/>
    <w:uiPriority w:val="0"/>
    <w:pPr>
      <w:spacing w:after="120"/>
    </w:pPr>
    <w:rPr>
      <w:rFonts w:ascii="Times New Roman" w:hAnsi="Times New Roman" w:eastAsia="宋体" w:cs="Times New Roman"/>
      <w:szCs w:val="24"/>
    </w:rPr>
  </w:style>
  <w:style w:type="paragraph" w:styleId="3">
    <w:name w:val="annotation text"/>
    <w:basedOn w:val="1"/>
    <w:qFormat/>
    <w:uiPriority w:val="0"/>
    <w:pPr>
      <w:jc w:val="left"/>
    </w:pPr>
  </w:style>
  <w:style w:type="paragraph" w:styleId="4">
    <w:name w:val="Plain Text"/>
    <w:basedOn w:val="1"/>
    <w:link w:val="14"/>
    <w:qFormat/>
    <w:uiPriority w:val="0"/>
    <w:rPr>
      <w:rFonts w:ascii="宋体" w:hAnsi="Courier New" w:eastAsia="宋体" w:cs="Times New Roman"/>
      <w:szCs w:val="24"/>
    </w:rPr>
  </w:style>
  <w:style w:type="paragraph" w:styleId="5">
    <w:name w:val="Date"/>
    <w:basedOn w:val="1"/>
    <w:next w:val="1"/>
    <w:link w:val="15"/>
    <w:qFormat/>
    <w:uiPriority w:val="0"/>
    <w:pPr>
      <w:ind w:left="100" w:leftChars="2500"/>
    </w:pPr>
    <w:rPr>
      <w:rFonts w:ascii="Times New Roman" w:hAnsi="Times New Roman" w:eastAsia="宋体" w:cs="Times New Roman"/>
    </w:rPr>
  </w:style>
  <w:style w:type="paragraph" w:styleId="6">
    <w:name w:val="footer"/>
    <w:basedOn w:val="1"/>
    <w:link w:val="16"/>
    <w:qFormat/>
    <w:uiPriority w:val="0"/>
    <w:pPr>
      <w:tabs>
        <w:tab w:val="center" w:pos="4153"/>
        <w:tab w:val="right" w:pos="8306"/>
      </w:tabs>
      <w:snapToGrid w:val="0"/>
      <w:jc w:val="left"/>
    </w:pPr>
    <w:rPr>
      <w:rFonts w:ascii="Times New Roman" w:hAnsi="Times New Roman" w:eastAsia="宋体" w:cs="Times New Roman"/>
      <w:sz w:val="18"/>
      <w:szCs w:val="18"/>
    </w:rPr>
  </w:style>
  <w:style w:type="paragraph" w:styleId="7">
    <w:name w:val="header"/>
    <w:basedOn w:val="1"/>
    <w:link w:val="17"/>
    <w:qFormat/>
    <w:uiPriority w:val="0"/>
    <w:pPr>
      <w:pBdr>
        <w:bottom w:val="single" w:color="auto" w:sz="6" w:space="1"/>
      </w:pBdr>
      <w:tabs>
        <w:tab w:val="center" w:pos="4153"/>
        <w:tab w:val="right" w:pos="8306"/>
      </w:tabs>
      <w:snapToGrid w:val="0"/>
      <w:jc w:val="center"/>
    </w:pPr>
    <w:rPr>
      <w:rFonts w:ascii="Times New Roman" w:hAnsi="Times New Roman" w:eastAsia="宋体" w:cs="Times New Roman"/>
      <w:sz w:val="18"/>
      <w:szCs w:val="18"/>
    </w:rPr>
  </w:style>
  <w:style w:type="paragraph" w:styleId="8">
    <w:name w:val="Normal (Web)"/>
    <w:basedOn w:val="1"/>
    <w:qFormat/>
    <w:uiPriority w:val="0"/>
    <w:pPr>
      <w:spacing w:before="100" w:beforeAutospacing="1" w:after="100" w:afterAutospacing="1"/>
      <w:ind w:left="0" w:right="0"/>
      <w:jc w:val="left"/>
    </w:pPr>
    <w:rPr>
      <w:rFonts w:ascii="Times New Roman" w:hAnsi="Times New Roman" w:eastAsia="宋体" w:cs="Times New Roman"/>
      <w:kern w:val="0"/>
      <w:sz w:val="24"/>
      <w:lang w:val="en-US" w:eastAsia="zh-CN" w:bidi="ar"/>
    </w:rPr>
  </w:style>
  <w:style w:type="table" w:styleId="10">
    <w:name w:val="Table Grid"/>
    <w:basedOn w:val="9"/>
    <w:qFormat/>
    <w:uiPriority w:val="0"/>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Strong"/>
    <w:qFormat/>
    <w:uiPriority w:val="0"/>
    <w:rPr>
      <w:rFonts w:ascii="Times New Roman" w:hAnsi="Times New Roman" w:eastAsia="宋体" w:cs="Times New Roman"/>
      <w:b/>
    </w:rPr>
  </w:style>
  <w:style w:type="character" w:styleId="13">
    <w:name w:val="Hyperlink"/>
    <w:qFormat/>
    <w:uiPriority w:val="0"/>
    <w:rPr>
      <w:rFonts w:ascii="Times New Roman" w:hAnsi="Times New Roman" w:eastAsia="宋体" w:cs="Times New Roman"/>
      <w:color w:val="0000FF"/>
      <w:u w:val="single"/>
    </w:rPr>
  </w:style>
  <w:style w:type="character" w:customStyle="1" w:styleId="14">
    <w:name w:val="纯文本 字符"/>
    <w:link w:val="4"/>
    <w:qFormat/>
    <w:uiPriority w:val="0"/>
    <w:rPr>
      <w:rFonts w:ascii="宋体" w:hAnsi="Courier New" w:eastAsia="宋体" w:cs="Times New Roman"/>
      <w:kern w:val="2"/>
      <w:sz w:val="21"/>
      <w:szCs w:val="24"/>
    </w:rPr>
  </w:style>
  <w:style w:type="character" w:customStyle="1" w:styleId="15">
    <w:name w:val="日期 字符"/>
    <w:link w:val="5"/>
    <w:qFormat/>
    <w:uiPriority w:val="0"/>
    <w:rPr>
      <w:rFonts w:ascii="Times New Roman" w:hAnsi="Times New Roman" w:eastAsia="宋体" w:cs="Times New Roman"/>
      <w:kern w:val="2"/>
      <w:sz w:val="21"/>
      <w:szCs w:val="22"/>
    </w:rPr>
  </w:style>
  <w:style w:type="character" w:customStyle="1" w:styleId="16">
    <w:name w:val="页脚 字符"/>
    <w:link w:val="6"/>
    <w:qFormat/>
    <w:uiPriority w:val="0"/>
    <w:rPr>
      <w:rFonts w:ascii="Times New Roman" w:hAnsi="Times New Roman" w:eastAsia="宋体" w:cs="Times New Roman"/>
      <w:kern w:val="2"/>
      <w:sz w:val="18"/>
      <w:szCs w:val="18"/>
    </w:rPr>
  </w:style>
  <w:style w:type="character" w:customStyle="1" w:styleId="17">
    <w:name w:val="页眉 字符"/>
    <w:link w:val="7"/>
    <w:qFormat/>
    <w:uiPriority w:val="0"/>
    <w:rPr>
      <w:rFonts w:ascii="Times New Roman" w:hAnsi="Times New Roman" w:eastAsia="宋体" w:cs="Times New Roman"/>
      <w:kern w:val="2"/>
      <w:sz w:val="18"/>
      <w:szCs w:val="18"/>
    </w:rPr>
  </w:style>
  <w:style w:type="character" w:customStyle="1" w:styleId="18">
    <w:name w:val="NormalCharacter"/>
    <w:qFormat/>
    <w:uiPriority w:val="0"/>
    <w:rPr>
      <w:rFonts w:ascii="Times New Roman" w:hAnsi="Times New Roman" w:eastAsia="宋体" w:cs="Times New Roman"/>
    </w:rPr>
  </w:style>
  <w:style w:type="paragraph" w:customStyle="1" w:styleId="19">
    <w:name w:val="Char"/>
    <w:basedOn w:val="1"/>
    <w:qFormat/>
    <w:uiPriority w:val="0"/>
    <w:pPr>
      <w:tabs>
        <w:tab w:val="left" w:pos="432"/>
      </w:tabs>
      <w:spacing w:before="156" w:beforeLines="50" w:after="156" w:afterLines="50"/>
      <w:ind w:left="432" w:hanging="432"/>
    </w:pPr>
    <w:rPr>
      <w:rFonts w:ascii="Times New Roman" w:hAnsi="Times New Roman" w:eastAsia="宋体" w:cs="Times New Roman"/>
      <w:szCs w:val="24"/>
    </w:rPr>
  </w:style>
  <w:style w:type="paragraph" w:styleId="20">
    <w:name w:val="List Paragraph"/>
    <w:basedOn w:val="1"/>
    <w:qFormat/>
    <w:uiPriority w:val="0"/>
    <w:pPr>
      <w:ind w:firstLine="420" w:firstLineChars="200"/>
    </w:pPr>
    <w:rPr>
      <w:rFonts w:ascii="Calibri" w:hAnsi="Calibri" w:eastAsia="宋体" w:cs="Times New Roman"/>
    </w:rPr>
  </w:style>
  <w:style w:type="character" w:customStyle="1" w:styleId="21">
    <w:name w:val="font01"/>
    <w:qFormat/>
    <w:uiPriority w:val="0"/>
    <w:rPr>
      <w:rFonts w:hint="eastAsia" w:ascii="宋体" w:hAnsi="宋体" w:eastAsia="宋体" w:cs="宋体"/>
      <w:b/>
      <w:color w:val="000000"/>
      <w:sz w:val="21"/>
      <w:szCs w:val="21"/>
      <w:u w:val="none"/>
    </w:rPr>
  </w:style>
  <w:style w:type="paragraph" w:customStyle="1" w:styleId="22">
    <w:name w:val="txt"/>
    <w:basedOn w:val="1"/>
    <w:qFormat/>
    <w:uiPriority w:val="0"/>
    <w:pPr>
      <w:widowControl/>
      <w:spacing w:before="100" w:beforeAutospacing="1" w:after="100" w:afterAutospacing="1"/>
      <w:jc w:val="left"/>
    </w:pPr>
    <w:rPr>
      <w:rFonts w:ascii="宋体" w:hAnsi="宋体" w:eastAsia="宋体" w:cs="宋体"/>
      <w:kern w:val="0"/>
      <w:sz w:val="24"/>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1" Type="http://schemas.openxmlformats.org/officeDocument/2006/relationships/fontTable" Target="fontTable.xml"/><Relationship Id="rId20" Type="http://schemas.openxmlformats.org/officeDocument/2006/relationships/numbering" Target="numbering.xml"/><Relationship Id="rId2" Type="http://schemas.openxmlformats.org/officeDocument/2006/relationships/settings" Target="settings.xml"/><Relationship Id="rId19" Type="http://schemas.openxmlformats.org/officeDocument/2006/relationships/customXml" Target="../customXml/item1.xml"/><Relationship Id="rId18" Type="http://schemas.openxmlformats.org/officeDocument/2006/relationships/theme" Target="theme/theme1.xml"/><Relationship Id="rId17" Type="http://schemas.openxmlformats.org/officeDocument/2006/relationships/footer" Target="footer12.xml"/><Relationship Id="rId16" Type="http://schemas.openxmlformats.org/officeDocument/2006/relationships/footer" Target="footer11.xml"/><Relationship Id="rId15" Type="http://schemas.openxmlformats.org/officeDocument/2006/relationships/footer" Target="footer10.xml"/><Relationship Id="rId14" Type="http://schemas.openxmlformats.org/officeDocument/2006/relationships/footer" Target="footer9.xml"/><Relationship Id="rId13" Type="http://schemas.openxmlformats.org/officeDocument/2006/relationships/footer" Target="footer8.xml"/><Relationship Id="rId12" Type="http://schemas.openxmlformats.org/officeDocument/2006/relationships/footer" Target="footer7.xml"/><Relationship Id="rId11" Type="http://schemas.openxmlformats.org/officeDocument/2006/relationships/footer" Target="footer6.xml"/><Relationship Id="rId10" Type="http://schemas.openxmlformats.org/officeDocument/2006/relationships/footer" Target="footer5.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44</Pages>
  <Words>2789</Words>
  <Characters>15899</Characters>
  <Lines>132</Lines>
  <Paragraphs>37</Paragraphs>
  <TotalTime>69</TotalTime>
  <ScaleCrop>false</ScaleCrop>
  <LinksUpToDate>false</LinksUpToDate>
  <CharactersWithSpaces>18651</CharactersWithSpaces>
  <Application>WPS Office_11.1.0.12763_F1E327BC-269C-435d-A152-05C5408002CA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2018-03-23T03:49:00Z</dcterms:created>
  <dc:creator>江西理工大学</dc:creator>
  <cp:lastModifiedBy>GAGA DUCK</cp:lastModifiedBy>
  <cp:lastPrinted>2021-11-01T09:57:00Z</cp:lastPrinted>
  <dcterms:modified xsi:type="dcterms:W3CDTF">2022-11-16T14:24:58Z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A8AF8C464F3542AA8C5D01162358DBDE</vt:lpwstr>
  </property>
</Properties>
</file>