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eastAsiaTheme="minorEastAsia"/>
          <w:lang w:val="en-US" w:eastAsia="zh-CN"/>
        </w:rPr>
      </w:pPr>
      <w:r>
        <w:rPr>
          <w:rFonts w:ascii="Times New Roman" w:hAnsi="Times New Roman" w:cs="Times New Roman"/>
          <w:sz w:val="28"/>
          <w:szCs w:val="28"/>
        </w:rPr>
        <w:t>附件</w:t>
      </w:r>
      <w:r>
        <w:rPr>
          <w:rFonts w:hint="eastAsia" w:ascii="Times New Roman" w:hAnsi="Times New Roman" w:cs="Times New Roman"/>
          <w:sz w:val="28"/>
          <w:szCs w:val="28"/>
          <w:lang w:val="en-US" w:eastAsia="zh-CN"/>
        </w:rPr>
        <w:t>1</w:t>
      </w:r>
    </w:p>
    <w:p>
      <w:pPr>
        <w:ind w:left="-426" w:leftChars="-204" w:right="-340" w:rightChars="-162" w:hanging="2"/>
        <w:jc w:val="center"/>
        <w:rPr>
          <w:rFonts w:ascii="Times New Roman" w:hAnsi="Times New Roman" w:cs="Times New Roman"/>
          <w:color w:val="000000" w:themeColor="text1"/>
          <w:kern w:val="0"/>
          <w:sz w:val="32"/>
          <w:szCs w:val="32"/>
          <w14:textFill>
            <w14:solidFill>
              <w14:schemeClr w14:val="tx1"/>
            </w14:solidFill>
          </w14:textFill>
        </w:rPr>
      </w:pPr>
      <w:r>
        <w:rPr>
          <w:rFonts w:ascii="Times New Roman" w:hAnsi="Times New Roman" w:cs="Times New Roman"/>
          <w:color w:val="000000" w:themeColor="text1"/>
          <w:kern w:val="0"/>
          <w:sz w:val="32"/>
          <w:szCs w:val="32"/>
          <w14:textFill>
            <w14:solidFill>
              <w14:schemeClr w14:val="tx1"/>
            </w14:solidFill>
          </w14:textFill>
        </w:rPr>
        <w:t>2021</w:t>
      </w:r>
      <w:r>
        <w:rPr>
          <w:rFonts w:hint="eastAsia" w:ascii="Times New Roman" w:hAnsi="Times New Roman" w:cs="Times New Roman"/>
          <w:color w:val="000000" w:themeColor="text1"/>
          <w:kern w:val="0"/>
          <w:sz w:val="32"/>
          <w:szCs w:val="32"/>
          <w14:textFill>
            <w14:solidFill>
              <w14:schemeClr w14:val="tx1"/>
            </w14:solidFill>
          </w14:textFill>
        </w:rPr>
        <w:t>年度</w:t>
      </w:r>
      <w:r>
        <w:rPr>
          <w:rFonts w:ascii="Times New Roman" w:hAnsi="Times New Roman" w:cs="Times New Roman"/>
          <w:color w:val="000000" w:themeColor="text1"/>
          <w:kern w:val="0"/>
          <w:sz w:val="32"/>
          <w:szCs w:val="32"/>
          <w14:textFill>
            <w14:solidFill>
              <w14:schemeClr w14:val="tx1"/>
            </w14:solidFill>
          </w14:textFill>
        </w:rPr>
        <w:t>上海市高等教育学会研究课题</w:t>
      </w:r>
      <w:r>
        <w:rPr>
          <w:rFonts w:hint="eastAsia" w:ascii="Times New Roman" w:hAnsi="Times New Roman" w:cs="Times New Roman"/>
          <w:color w:val="000000" w:themeColor="text1"/>
          <w:kern w:val="0"/>
          <w:sz w:val="32"/>
          <w:szCs w:val="32"/>
          <w14:textFill>
            <w14:solidFill>
              <w14:schemeClr w14:val="tx1"/>
            </w14:solidFill>
          </w14:textFill>
        </w:rPr>
        <w:t>（两年期）立项</w:t>
      </w:r>
      <w:r>
        <w:rPr>
          <w:rFonts w:ascii="Times New Roman" w:hAnsi="Times New Roman" w:cs="Times New Roman"/>
          <w:color w:val="000000" w:themeColor="text1"/>
          <w:kern w:val="0"/>
          <w:sz w:val="32"/>
          <w:szCs w:val="32"/>
          <w14:textFill>
            <w14:solidFill>
              <w14:schemeClr w14:val="tx1"/>
            </w14:solidFill>
          </w14:textFill>
        </w:rPr>
        <w:t>名单</w:t>
      </w:r>
    </w:p>
    <w:p>
      <w:pPr>
        <w:ind w:firstLine="480" w:firstLineChars="200"/>
        <w:rPr>
          <w:rFonts w:ascii="Times New Roman" w:hAnsi="Times New Roman" w:eastAsia="宋体" w:cs="Times New Roman"/>
          <w:color w:val="4D4D4D"/>
          <w:kern w:val="0"/>
          <w:sz w:val="24"/>
          <w:szCs w:val="24"/>
        </w:rPr>
      </w:pPr>
    </w:p>
    <w:tbl>
      <w:tblPr>
        <w:tblStyle w:val="6"/>
        <w:tblW w:w="546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934"/>
        <w:gridCol w:w="6108"/>
        <w:gridCol w:w="1004"/>
        <w:gridCol w:w="115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1" w:hRule="atLeast"/>
          <w:jc w:val="center"/>
        </w:trPr>
        <w:tc>
          <w:tcPr>
            <w:tcW w:w="508" w:type="pct"/>
            <w:shd w:val="clear" w:color="auto" w:fill="auto"/>
            <w:tcMar>
              <w:top w:w="0" w:type="dxa"/>
              <w:left w:w="108" w:type="dxa"/>
              <w:bottom w:w="0" w:type="dxa"/>
              <w:right w:w="108" w:type="dxa"/>
            </w:tcMar>
            <w:vAlign w:val="center"/>
          </w:tcPr>
          <w:p>
            <w:pPr>
              <w:widowControl/>
              <w:snapToGrid w:val="0"/>
              <w:jc w:val="center"/>
              <w:rPr>
                <w:rFonts w:ascii="黑体" w:hAnsi="黑体" w:eastAsia="黑体"/>
                <w:b/>
                <w:bCs/>
                <w:kern w:val="0"/>
                <w:sz w:val="22"/>
                <w:szCs w:val="18"/>
              </w:rPr>
            </w:pPr>
            <w:r>
              <w:rPr>
                <w:rFonts w:hint="eastAsia" w:ascii="黑体" w:hAnsi="黑体" w:eastAsia="黑体"/>
                <w:b/>
                <w:bCs/>
                <w:kern w:val="0"/>
                <w:sz w:val="22"/>
                <w:szCs w:val="18"/>
              </w:rPr>
              <w:t>课题</w:t>
            </w:r>
          </w:p>
          <w:p>
            <w:pPr>
              <w:widowControl/>
              <w:snapToGrid w:val="0"/>
              <w:jc w:val="center"/>
              <w:rPr>
                <w:rFonts w:ascii="黑体" w:hAnsi="黑体" w:eastAsia="黑体"/>
                <w:b/>
                <w:kern w:val="0"/>
                <w:sz w:val="22"/>
                <w:szCs w:val="18"/>
              </w:rPr>
            </w:pPr>
            <w:r>
              <w:rPr>
                <w:rFonts w:ascii="黑体" w:hAnsi="黑体" w:eastAsia="黑体"/>
                <w:b/>
                <w:bCs/>
                <w:kern w:val="0"/>
                <w:sz w:val="22"/>
                <w:szCs w:val="18"/>
              </w:rPr>
              <w:t>编号</w:t>
            </w:r>
          </w:p>
        </w:tc>
        <w:tc>
          <w:tcPr>
            <w:tcW w:w="3321" w:type="pct"/>
            <w:shd w:val="clear" w:color="auto" w:fill="auto"/>
            <w:tcMar>
              <w:top w:w="0" w:type="dxa"/>
              <w:left w:w="108" w:type="dxa"/>
              <w:bottom w:w="0" w:type="dxa"/>
              <w:right w:w="108" w:type="dxa"/>
            </w:tcMar>
            <w:vAlign w:val="center"/>
          </w:tcPr>
          <w:p>
            <w:pPr>
              <w:widowControl/>
              <w:spacing w:line="360" w:lineRule="atLeast"/>
              <w:jc w:val="center"/>
              <w:rPr>
                <w:rFonts w:ascii="黑体" w:hAnsi="黑体" w:eastAsia="黑体"/>
                <w:b/>
                <w:kern w:val="0"/>
                <w:szCs w:val="18"/>
              </w:rPr>
            </w:pPr>
            <w:r>
              <w:rPr>
                <w:rFonts w:hint="eastAsia" w:ascii="黑体" w:hAnsi="黑体" w:eastAsia="黑体"/>
                <w:b/>
                <w:bCs/>
                <w:kern w:val="0"/>
                <w:szCs w:val="18"/>
              </w:rPr>
              <w:t>课题</w:t>
            </w:r>
            <w:r>
              <w:rPr>
                <w:rFonts w:ascii="黑体" w:hAnsi="黑体" w:eastAsia="黑体"/>
                <w:b/>
                <w:bCs/>
                <w:kern w:val="0"/>
                <w:szCs w:val="18"/>
              </w:rPr>
              <w:t>名称</w:t>
            </w:r>
          </w:p>
        </w:tc>
        <w:tc>
          <w:tcPr>
            <w:tcW w:w="546" w:type="pct"/>
            <w:shd w:val="clear" w:color="auto" w:fill="auto"/>
            <w:tcMar>
              <w:top w:w="0" w:type="dxa"/>
              <w:left w:w="108" w:type="dxa"/>
              <w:bottom w:w="0" w:type="dxa"/>
              <w:right w:w="108" w:type="dxa"/>
            </w:tcMar>
            <w:vAlign w:val="center"/>
          </w:tcPr>
          <w:p>
            <w:pPr>
              <w:widowControl/>
              <w:snapToGrid w:val="0"/>
              <w:jc w:val="center"/>
              <w:rPr>
                <w:rFonts w:ascii="黑体" w:hAnsi="黑体" w:eastAsia="黑体"/>
                <w:b/>
                <w:kern w:val="0"/>
                <w:sz w:val="22"/>
                <w:szCs w:val="18"/>
              </w:rPr>
            </w:pPr>
            <w:r>
              <w:rPr>
                <w:rFonts w:hint="eastAsia" w:ascii="黑体" w:hAnsi="黑体" w:eastAsia="黑体"/>
                <w:b/>
                <w:bCs/>
                <w:kern w:val="0"/>
                <w:sz w:val="22"/>
                <w:szCs w:val="18"/>
              </w:rPr>
              <w:t>负责人</w:t>
            </w:r>
          </w:p>
        </w:tc>
        <w:tc>
          <w:tcPr>
            <w:tcW w:w="625" w:type="pct"/>
            <w:vAlign w:val="center"/>
          </w:tcPr>
          <w:p>
            <w:pPr>
              <w:widowControl/>
              <w:snapToGrid w:val="0"/>
              <w:jc w:val="center"/>
              <w:rPr>
                <w:rFonts w:ascii="黑体" w:hAnsi="黑体" w:eastAsia="黑体"/>
                <w:b/>
                <w:bCs/>
                <w:kern w:val="0"/>
                <w:sz w:val="22"/>
                <w:szCs w:val="18"/>
              </w:rPr>
            </w:pPr>
            <w:r>
              <w:rPr>
                <w:rFonts w:hint="eastAsia" w:ascii="黑体" w:hAnsi="黑体" w:eastAsia="黑体"/>
                <w:b/>
                <w:bCs/>
                <w:kern w:val="0"/>
                <w:sz w:val="22"/>
                <w:szCs w:val="18"/>
              </w:rPr>
              <w:t>立项类别</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8" w:hRule="atLeast"/>
          <w:jc w:val="center"/>
        </w:trPr>
        <w:tc>
          <w:tcPr>
            <w:tcW w:w="508" w:type="pct"/>
            <w:shd w:val="clear" w:color="auto" w:fill="auto"/>
            <w:tcMar>
              <w:top w:w="0" w:type="dxa"/>
              <w:left w:w="108" w:type="dxa"/>
              <w:bottom w:w="0" w:type="dxa"/>
              <w:right w:w="108" w:type="dxa"/>
            </w:tcMar>
            <w:vAlign w:val="center"/>
          </w:tcPr>
          <w:p>
            <w:pPr>
              <w:widowControl/>
              <w:spacing w:line="36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Y2-</w:t>
            </w:r>
            <w:r>
              <w:rPr>
                <w:rFonts w:hint="eastAsia" w:ascii="仿宋_GB2312" w:hAnsi="仿宋_GB2312" w:eastAsia="仿宋_GB2312" w:cs="仿宋_GB2312"/>
                <w:kern w:val="0"/>
                <w:sz w:val="24"/>
                <w:szCs w:val="24"/>
                <w:lang w:val="en-US" w:eastAsia="zh-CN"/>
              </w:rPr>
              <w:t>52</w:t>
            </w:r>
          </w:p>
        </w:tc>
        <w:tc>
          <w:tcPr>
            <w:tcW w:w="6024" w:type="dxa"/>
            <w:shd w:val="clear" w:color="auto" w:fill="auto"/>
            <w:tcMar>
              <w:top w:w="0" w:type="dxa"/>
              <w:left w:w="108" w:type="dxa"/>
              <w:bottom w:w="0" w:type="dxa"/>
              <w:right w:w="108" w:type="dxa"/>
            </w:tcMar>
            <w:vAlign w:val="center"/>
          </w:tcPr>
          <w:p>
            <w:pPr>
              <w:keepNext w:val="0"/>
              <w:keepLines w:val="0"/>
              <w:widowControl/>
              <w:suppressLineNumbers w:val="0"/>
              <w:wordWrap/>
              <w:spacing w:line="240" w:lineRule="auto"/>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bidi="ar"/>
              </w:rPr>
              <w:t>数字经济背景下传统商科专业转型升级实践研究</w:t>
            </w:r>
          </w:p>
        </w:tc>
        <w:tc>
          <w:tcPr>
            <w:tcW w:w="990" w:type="dxa"/>
            <w:shd w:val="clear" w:color="auto" w:fill="auto"/>
            <w:tcMar>
              <w:top w:w="0" w:type="dxa"/>
              <w:left w:w="108" w:type="dxa"/>
              <w:bottom w:w="0" w:type="dxa"/>
              <w:right w:w="108" w:type="dxa"/>
            </w:tcMar>
            <w:vAlign w:val="center"/>
          </w:tcPr>
          <w:p>
            <w:pPr>
              <w:keepNext w:val="0"/>
              <w:keepLines w:val="0"/>
              <w:widowControl/>
              <w:suppressLineNumbers w:val="0"/>
              <w:wordWrap/>
              <w:spacing w:line="240" w:lineRule="auto"/>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bidi="ar"/>
              </w:rPr>
              <w:t>季萍</w:t>
            </w:r>
          </w:p>
        </w:tc>
        <w:tc>
          <w:tcPr>
            <w:tcW w:w="625" w:type="pct"/>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一般</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8" w:hRule="atLeast"/>
          <w:jc w:val="center"/>
        </w:trPr>
        <w:tc>
          <w:tcPr>
            <w:tcW w:w="508" w:type="pct"/>
            <w:shd w:val="clear" w:color="auto" w:fill="auto"/>
            <w:tcMar>
              <w:top w:w="0" w:type="dxa"/>
              <w:left w:w="108" w:type="dxa"/>
              <w:bottom w:w="0" w:type="dxa"/>
              <w:right w:w="108" w:type="dxa"/>
            </w:tcMar>
            <w:vAlign w:val="center"/>
          </w:tcPr>
          <w:p>
            <w:pPr>
              <w:widowControl/>
              <w:spacing w:line="36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Y2-</w:t>
            </w:r>
            <w:r>
              <w:rPr>
                <w:rFonts w:hint="eastAsia" w:ascii="仿宋_GB2312" w:hAnsi="仿宋_GB2312" w:eastAsia="仿宋_GB2312" w:cs="仿宋_GB2312"/>
                <w:kern w:val="0"/>
                <w:sz w:val="24"/>
                <w:szCs w:val="24"/>
                <w:lang w:val="en-US" w:eastAsia="zh-CN"/>
              </w:rPr>
              <w:t>53</w:t>
            </w:r>
          </w:p>
        </w:tc>
        <w:tc>
          <w:tcPr>
            <w:tcW w:w="6024" w:type="dxa"/>
            <w:shd w:val="clear" w:color="auto" w:fill="auto"/>
            <w:tcMar>
              <w:top w:w="0" w:type="dxa"/>
              <w:left w:w="108" w:type="dxa"/>
              <w:bottom w:w="0" w:type="dxa"/>
              <w:right w:w="108" w:type="dxa"/>
            </w:tcMar>
            <w:vAlign w:val="center"/>
          </w:tcPr>
          <w:p>
            <w:pPr>
              <w:keepNext w:val="0"/>
              <w:keepLines w:val="0"/>
              <w:widowControl/>
              <w:suppressLineNumbers w:val="0"/>
              <w:wordWrap/>
              <w:spacing w:line="240" w:lineRule="auto"/>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bidi="ar"/>
              </w:rPr>
              <w:t>“金融科技+教育”背景下智慧课堂教学模式设计与应用研究</w:t>
            </w:r>
          </w:p>
        </w:tc>
        <w:tc>
          <w:tcPr>
            <w:tcW w:w="990" w:type="dxa"/>
            <w:shd w:val="clear" w:color="auto" w:fill="auto"/>
            <w:tcMar>
              <w:top w:w="0" w:type="dxa"/>
              <w:left w:w="108" w:type="dxa"/>
              <w:bottom w:w="0" w:type="dxa"/>
              <w:right w:w="108" w:type="dxa"/>
            </w:tcMar>
            <w:vAlign w:val="center"/>
          </w:tcPr>
          <w:p>
            <w:pPr>
              <w:keepNext w:val="0"/>
              <w:keepLines w:val="0"/>
              <w:widowControl/>
              <w:suppressLineNumbers w:val="0"/>
              <w:wordWrap/>
              <w:spacing w:line="240" w:lineRule="auto"/>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auto"/>
                <w:kern w:val="0"/>
                <w:sz w:val="24"/>
                <w:szCs w:val="24"/>
                <w:lang w:val="en-US" w:eastAsia="zh-CN" w:bidi="ar"/>
              </w:rPr>
              <w:t>凌一文</w:t>
            </w:r>
          </w:p>
        </w:tc>
        <w:tc>
          <w:tcPr>
            <w:tcW w:w="625" w:type="pct"/>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一般</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6" w:hRule="atLeast"/>
          <w:jc w:val="center"/>
        </w:trPr>
        <w:tc>
          <w:tcPr>
            <w:tcW w:w="508" w:type="pct"/>
            <w:shd w:val="clear" w:color="auto" w:fill="auto"/>
            <w:tcMar>
              <w:top w:w="0" w:type="dxa"/>
              <w:left w:w="108" w:type="dxa"/>
              <w:bottom w:w="0" w:type="dxa"/>
              <w:right w:w="108" w:type="dxa"/>
            </w:tcMar>
            <w:vAlign w:val="center"/>
          </w:tcPr>
          <w:p>
            <w:pPr>
              <w:widowControl/>
              <w:spacing w:line="36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Y2-5</w:t>
            </w:r>
            <w:r>
              <w:rPr>
                <w:rFonts w:hint="eastAsia" w:ascii="仿宋_GB2312" w:hAnsi="仿宋_GB2312" w:eastAsia="仿宋_GB2312" w:cs="仿宋_GB2312"/>
                <w:kern w:val="0"/>
                <w:sz w:val="24"/>
                <w:szCs w:val="24"/>
                <w:lang w:val="en-US" w:eastAsia="zh-CN"/>
              </w:rPr>
              <w:t>4</w:t>
            </w:r>
          </w:p>
        </w:tc>
        <w:tc>
          <w:tcPr>
            <w:tcW w:w="6024" w:type="dxa"/>
            <w:shd w:val="clear" w:color="auto" w:fill="auto"/>
            <w:tcMar>
              <w:top w:w="0" w:type="dxa"/>
              <w:left w:w="108" w:type="dxa"/>
              <w:bottom w:w="0" w:type="dxa"/>
              <w:right w:w="108" w:type="dxa"/>
            </w:tcMar>
            <w:vAlign w:val="center"/>
          </w:tcPr>
          <w:p>
            <w:pPr>
              <w:keepNext w:val="0"/>
              <w:keepLines w:val="0"/>
              <w:widowControl/>
              <w:suppressLineNumbers w:val="0"/>
              <w:wordWrap/>
              <w:spacing w:line="240" w:lineRule="auto"/>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bidi="ar"/>
              </w:rPr>
              <w:t>大学体育个性化背景下上海高校公共体育课改革主要成效及推进路径研究</w:t>
            </w:r>
          </w:p>
        </w:tc>
        <w:tc>
          <w:tcPr>
            <w:tcW w:w="990" w:type="dxa"/>
            <w:shd w:val="clear" w:color="auto" w:fill="auto"/>
            <w:tcMar>
              <w:top w:w="0" w:type="dxa"/>
              <w:left w:w="108" w:type="dxa"/>
              <w:bottom w:w="0" w:type="dxa"/>
              <w:right w:w="108" w:type="dxa"/>
            </w:tcMar>
            <w:vAlign w:val="center"/>
          </w:tcPr>
          <w:p>
            <w:pPr>
              <w:keepNext w:val="0"/>
              <w:keepLines w:val="0"/>
              <w:widowControl/>
              <w:suppressLineNumbers w:val="0"/>
              <w:wordWrap/>
              <w:spacing w:line="240" w:lineRule="auto"/>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bidi="ar"/>
              </w:rPr>
              <w:t>孙毅</w:t>
            </w:r>
          </w:p>
        </w:tc>
        <w:tc>
          <w:tcPr>
            <w:tcW w:w="625" w:type="pct"/>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一般</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4" w:hRule="atLeast"/>
          <w:jc w:val="center"/>
        </w:trPr>
        <w:tc>
          <w:tcPr>
            <w:tcW w:w="508" w:type="pct"/>
            <w:shd w:val="clear" w:color="auto" w:fill="auto"/>
            <w:tcMar>
              <w:top w:w="0" w:type="dxa"/>
              <w:left w:w="108" w:type="dxa"/>
              <w:bottom w:w="0" w:type="dxa"/>
              <w:right w:w="108" w:type="dxa"/>
            </w:tcMar>
            <w:vAlign w:val="center"/>
          </w:tcPr>
          <w:p>
            <w:pPr>
              <w:widowControl/>
              <w:spacing w:line="360" w:lineRule="atLeast"/>
              <w:jc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Y2-5</w:t>
            </w:r>
            <w:r>
              <w:rPr>
                <w:rFonts w:hint="eastAsia" w:ascii="仿宋_GB2312" w:hAnsi="仿宋_GB2312" w:eastAsia="仿宋_GB2312" w:cs="仿宋_GB2312"/>
                <w:kern w:val="0"/>
                <w:sz w:val="24"/>
                <w:szCs w:val="24"/>
                <w:lang w:val="en-US" w:eastAsia="zh-CN"/>
              </w:rPr>
              <w:t>5</w:t>
            </w:r>
          </w:p>
        </w:tc>
        <w:tc>
          <w:tcPr>
            <w:tcW w:w="6024" w:type="dxa"/>
            <w:shd w:val="clear" w:color="auto" w:fill="auto"/>
            <w:tcMar>
              <w:top w:w="0" w:type="dxa"/>
              <w:left w:w="108" w:type="dxa"/>
              <w:bottom w:w="0" w:type="dxa"/>
              <w:right w:w="108" w:type="dxa"/>
            </w:tcMar>
            <w:vAlign w:val="center"/>
          </w:tcPr>
          <w:p>
            <w:pPr>
              <w:keepNext w:val="0"/>
              <w:keepLines w:val="0"/>
              <w:widowControl/>
              <w:suppressLineNumbers w:val="0"/>
              <w:wordWrap/>
              <w:spacing w:line="240" w:lineRule="auto"/>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bidi="ar"/>
              </w:rPr>
              <w:t>课程思政与流行文艺类课程的深度融合：主流价值观审视下的当代流行文艺及其对青年价值观的影响研究。</w:t>
            </w:r>
          </w:p>
        </w:tc>
        <w:tc>
          <w:tcPr>
            <w:tcW w:w="990" w:type="dxa"/>
            <w:shd w:val="clear" w:color="auto" w:fill="auto"/>
            <w:tcMar>
              <w:top w:w="0" w:type="dxa"/>
              <w:left w:w="108" w:type="dxa"/>
              <w:bottom w:w="0" w:type="dxa"/>
              <w:right w:w="108" w:type="dxa"/>
            </w:tcMar>
            <w:vAlign w:val="center"/>
          </w:tcPr>
          <w:p>
            <w:pPr>
              <w:keepNext w:val="0"/>
              <w:keepLines w:val="0"/>
              <w:widowControl/>
              <w:suppressLineNumbers w:val="0"/>
              <w:wordWrap/>
              <w:spacing w:line="240" w:lineRule="auto"/>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bidi="ar"/>
              </w:rPr>
              <w:t>祝嘉琳</w:t>
            </w:r>
          </w:p>
        </w:tc>
        <w:tc>
          <w:tcPr>
            <w:tcW w:w="625" w:type="pct"/>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一般</w:t>
            </w:r>
          </w:p>
        </w:tc>
      </w:tr>
    </w:tbl>
    <w:p>
      <w:pPr>
        <w:jc w:val="left"/>
      </w:pPr>
      <w:r>
        <w:rPr>
          <w:rFonts w:hint="eastAsia"/>
        </w:rPr>
        <w:t xml:space="preserve">   </w:t>
      </w:r>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xY2VmYzg4NGUzMzJjNjM4OTA1NjE2ZGVhYzY2NjUifQ=="/>
  </w:docVars>
  <w:rsids>
    <w:rsidRoot w:val="00692BEF"/>
    <w:rsid w:val="002975BD"/>
    <w:rsid w:val="00404FFF"/>
    <w:rsid w:val="00692BEF"/>
    <w:rsid w:val="009B1E4F"/>
    <w:rsid w:val="00B522DB"/>
    <w:rsid w:val="00CC16EE"/>
    <w:rsid w:val="1DC6029B"/>
    <w:rsid w:val="352D74C7"/>
    <w:rsid w:val="3A911B07"/>
    <w:rsid w:val="66D2368A"/>
    <w:rsid w:val="6A7F1E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keepNext/>
      <w:keepLines/>
      <w:spacing w:before="340" w:after="330" w:line="578" w:lineRule="auto"/>
      <w:jc w:val="center"/>
      <w:outlineLvl w:val="0"/>
    </w:pPr>
    <w:rPr>
      <w:rFonts w:eastAsia="Times New Roman"/>
      <w:b/>
      <w:bCs/>
      <w:kern w:val="44"/>
      <w:sz w:val="36"/>
      <w:szCs w:val="44"/>
    </w:rPr>
  </w:style>
  <w:style w:type="paragraph" w:styleId="3">
    <w:name w:val="heading 2"/>
    <w:basedOn w:val="1"/>
    <w:next w:val="1"/>
    <w:link w:val="9"/>
    <w:unhideWhenUsed/>
    <w:qFormat/>
    <w:uiPriority w:val="9"/>
    <w:pPr>
      <w:keepNext/>
      <w:keepLines/>
      <w:spacing w:before="260" w:after="260" w:line="416" w:lineRule="auto"/>
      <w:jc w:val="left"/>
      <w:outlineLvl w:val="1"/>
    </w:pPr>
    <w:rPr>
      <w:rFonts w:eastAsia="黑体" w:asciiTheme="majorHAnsi" w:hAnsiTheme="majorHAnsi" w:cstheme="majorBidi"/>
      <w:bCs/>
      <w:color w:val="262626" w:themeColor="text1" w:themeTint="D9"/>
      <w:sz w:val="30"/>
      <w:szCs w:val="32"/>
      <w14:textFill>
        <w14:solidFill>
          <w14:schemeClr w14:val="tx1">
            <w14:lumMod w14:val="85000"/>
            <w14:lumOff w14:val="15000"/>
          </w14:schemeClr>
        </w14:solidFill>
      </w14:textFill>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1 Char"/>
    <w:basedOn w:val="7"/>
    <w:link w:val="2"/>
    <w:qFormat/>
    <w:uiPriority w:val="9"/>
    <w:rPr>
      <w:rFonts w:eastAsia="Times New Roman"/>
      <w:b/>
      <w:bCs/>
      <w:kern w:val="44"/>
      <w:sz w:val="36"/>
      <w:szCs w:val="44"/>
    </w:rPr>
  </w:style>
  <w:style w:type="character" w:customStyle="1" w:styleId="9">
    <w:name w:val="标题 2 Char"/>
    <w:basedOn w:val="7"/>
    <w:link w:val="3"/>
    <w:uiPriority w:val="9"/>
    <w:rPr>
      <w:rFonts w:eastAsia="黑体" w:asciiTheme="majorHAnsi" w:hAnsiTheme="majorHAnsi" w:cstheme="majorBidi"/>
      <w:bCs/>
      <w:color w:val="262626" w:themeColor="text1" w:themeTint="D9"/>
      <w:sz w:val="30"/>
      <w:szCs w:val="32"/>
      <w14:textFill>
        <w14:solidFill>
          <w14:schemeClr w14:val="tx1">
            <w14:lumMod w14:val="85000"/>
            <w14:lumOff w14:val="15000"/>
          </w14:schemeClr>
        </w14:solidFill>
      </w14:textFill>
    </w:rPr>
  </w:style>
  <w:style w:type="character" w:customStyle="1" w:styleId="10">
    <w:name w:val="页眉 Char"/>
    <w:basedOn w:val="7"/>
    <w:link w:val="5"/>
    <w:qFormat/>
    <w:uiPriority w:val="99"/>
    <w:rPr>
      <w:sz w:val="18"/>
      <w:szCs w:val="18"/>
    </w:rPr>
  </w:style>
  <w:style w:type="character" w:customStyle="1" w:styleId="11">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192</Words>
  <Characters>211</Characters>
  <Lines>1</Lines>
  <Paragraphs>1</Paragraphs>
  <TotalTime>5</TotalTime>
  <ScaleCrop>false</ScaleCrop>
  <LinksUpToDate>false</LinksUpToDate>
  <CharactersWithSpaces>216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2023-07-04T03:10:00Z</dcterms:created>
  <dc:creator>sbs</dc:creator>
  <cp:lastModifiedBy>Ethan </cp:lastModifiedBy>
  <dcterms:modified xsi:type="dcterms:W3CDTF">2023-08-22T07:14:32Z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6181EC4007B54232A1062D7A3AF0D3BF_12</vt:lpwstr>
  </property>
</Properties>
</file>