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kern w:val="2"/>
          <w:sz w:val="28"/>
          <w:szCs w:val="28"/>
          <w:lang w:val="en-US" w:eastAsia="zh-CN" w:bidi="ar-SA"/>
        </w:rPr>
      </w:pPr>
      <w:r>
        <w:rPr>
          <w:rFonts w:hint="eastAsia" w:ascii="方正小标宋简体" w:hAnsi="方正小标宋简体" w:eastAsia="方正小标宋简体" w:cs="方正小标宋简体"/>
          <w:b w:val="0"/>
          <w:bCs w:val="0"/>
          <w:color w:val="auto"/>
          <w:kern w:val="2"/>
          <w:sz w:val="36"/>
          <w:szCs w:val="36"/>
          <w:lang w:val="en-US" w:eastAsia="zh-CN" w:bidi="ar-SA"/>
        </w:rPr>
        <w:t>2025年度校级科研项目选题指南</w:t>
      </w:r>
    </w:p>
    <w:p>
      <w:pPr>
        <w:spacing w:line="360" w:lineRule="auto"/>
        <w:ind w:left="502" w:hanging="441" w:hangingChars="157"/>
        <w:rPr>
          <w:rFonts w:hint="eastAsia" w:ascii="宋体" w:hAnsi="宋体" w:eastAsia="宋体" w:cs="宋体"/>
          <w:b/>
          <w:bCs/>
          <w:color w:val="auto"/>
          <w:kern w:val="2"/>
          <w:sz w:val="28"/>
          <w:szCs w:val="28"/>
          <w:lang w:val="en-US" w:eastAsia="zh-CN" w:bidi="ar-SA"/>
        </w:rPr>
      </w:pPr>
    </w:p>
    <w:p>
      <w:pPr>
        <w:spacing w:line="360" w:lineRule="auto"/>
        <w:ind w:left="502" w:hanging="504" w:hangingChars="157"/>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（一）习近平新时代中国特色社会主义思想和党的二十届三中全会精神研究</w:t>
      </w:r>
    </w:p>
    <w:p>
      <w:pPr>
        <w:keepNext w:val="0"/>
        <w:keepLines w:val="0"/>
        <w:widowControl/>
        <w:suppressLineNumbers w:val="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000000"/>
          <w:kern w:val="0"/>
          <w:sz w:val="28"/>
          <w:szCs w:val="28"/>
          <w:lang w:val="en-US" w:eastAsia="zh-CN" w:bidi="ar"/>
        </w:rPr>
        <w:t xml:space="preserve">1.习近平新时代中国特色社会主义思想的世界观和方法论研究 </w:t>
      </w:r>
    </w:p>
    <w:p>
      <w:pPr>
        <w:keepNext w:val="0"/>
        <w:keepLines w:val="0"/>
        <w:widowControl/>
        <w:suppressLineNumbers w:val="0"/>
        <w:jc w:val="left"/>
        <w:rPr>
          <w:rFonts w:hint="eastAsia" w:ascii="方正仿宋_GB2312" w:hAnsi="方正仿宋_GB2312" w:eastAsia="方正仿宋_GB2312" w:cs="方正仿宋_GB2312"/>
          <w:color w:val="000000"/>
          <w:kern w:val="0"/>
          <w:sz w:val="28"/>
          <w:szCs w:val="28"/>
          <w:lang w:val="en-US" w:eastAsia="zh-CN" w:bidi="ar"/>
        </w:rPr>
      </w:pPr>
      <w:r>
        <w:rPr>
          <w:rFonts w:hint="eastAsia" w:ascii="方正仿宋_GB2312" w:hAnsi="方正仿宋_GB2312" w:eastAsia="方正仿宋_GB2312" w:cs="方正仿宋_GB2312"/>
          <w:color w:val="000000"/>
          <w:kern w:val="0"/>
          <w:sz w:val="28"/>
          <w:szCs w:val="28"/>
          <w:lang w:val="en-US" w:eastAsia="zh-CN" w:bidi="ar"/>
        </w:rPr>
        <w:t>2.习近平总书记关于各领域重要论述的理论建构和学理阐释</w:t>
      </w:r>
    </w:p>
    <w:p>
      <w:pPr>
        <w:keepNext w:val="0"/>
        <w:keepLines w:val="0"/>
        <w:widowControl/>
        <w:suppressLineNumbers w:val="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000000"/>
          <w:kern w:val="0"/>
          <w:sz w:val="28"/>
          <w:szCs w:val="28"/>
          <w:lang w:val="en-US" w:eastAsia="zh-CN" w:bidi="ar"/>
        </w:rPr>
        <w:t xml:space="preserve">3.党的二十届三中全会精神的法理阐释 </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000000"/>
          <w:kern w:val="0"/>
          <w:sz w:val="28"/>
          <w:szCs w:val="28"/>
          <w:lang w:val="en-US" w:eastAsia="zh-CN" w:bidi="ar"/>
        </w:rPr>
        <w:t>4.中国特色社会主义制度的文明根基、科学内涵和实践进程</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5.以中国式现代化全面推进中华民族伟大复兴的理论与实践研究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6.中国式现代化的科学内涵、本质要求和实现路径研究</w:t>
      </w:r>
    </w:p>
    <w:p>
      <w:pPr>
        <w:keepNext w:val="0"/>
        <w:keepLines w:val="0"/>
        <w:widowControl/>
        <w:suppressLineNumbers w:val="0"/>
        <w:jc w:val="left"/>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7.</w:t>
      </w:r>
      <w:r>
        <w:rPr>
          <w:rFonts w:hint="eastAsia" w:ascii="方正仿宋_GB2312" w:hAnsi="方正仿宋_GB2312" w:eastAsia="方正仿宋_GB2312" w:cs="方正仿宋_GB2312"/>
          <w:color w:val="000000"/>
          <w:kern w:val="0"/>
          <w:sz w:val="28"/>
          <w:szCs w:val="28"/>
          <w:lang w:val="en-US" w:eastAsia="zh-CN" w:bidi="ar"/>
        </w:rPr>
        <w:t>中国式现代化蕴含的独特世界观、价值观、历史观、文明观、民主观、生态观研究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8.新时代中国共产党推进理论创新的理论和实践逻辑研究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9.中国式现代化建设中坚持改革开放的目标与重点任务研究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10.新时代全面深化改革开放的伟大成就和宝贵经验研究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11.完善高水平对外开放体制机制研究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12.健全推动经济高质量发展体制机制研究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13.完善城乡融合发展体制机制研究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14.健全宏观经济治理体系研究</w:t>
      </w:r>
    </w:p>
    <w:p>
      <w:pPr>
        <w:spacing w:line="360" w:lineRule="auto"/>
        <w:ind w:left="502" w:hanging="504" w:hangingChars="157"/>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（二）马克思主义、党史、党建问题研究</w:t>
      </w:r>
    </w:p>
    <w:p>
      <w:pPr>
        <w:numPr>
          <w:ilvl w:val="0"/>
          <w:numId w:val="0"/>
        </w:numPr>
        <w:spacing w:line="360" w:lineRule="auto"/>
        <w:ind w:leftChars="0"/>
        <w:rPr>
          <w:rFonts w:hint="eastAsia" w:ascii="方正仿宋_GB2312" w:hAnsi="方正仿宋_GB2312" w:eastAsia="方正仿宋_GB2312" w:cs="方正仿宋_GB2312"/>
          <w:color w:val="000000"/>
          <w:kern w:val="0"/>
          <w:sz w:val="28"/>
          <w:szCs w:val="28"/>
          <w:lang w:val="en-US" w:eastAsia="zh-CN" w:bidi="ar"/>
        </w:rPr>
      </w:pPr>
      <w:r>
        <w:rPr>
          <w:rFonts w:hint="eastAsia" w:ascii="方正仿宋_GB2312" w:hAnsi="方正仿宋_GB2312" w:eastAsia="方正仿宋_GB2312" w:cs="方正仿宋_GB2312"/>
          <w:color w:val="000000"/>
          <w:kern w:val="0"/>
          <w:sz w:val="28"/>
          <w:szCs w:val="28"/>
          <w:lang w:val="en-US" w:eastAsia="zh-CN" w:bidi="ar"/>
        </w:rPr>
        <w:t>15.马克思主义中国化时代化历史进程与基本规律研究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16.马克思主义与中华优秀传统文化相结合的原理、方法和路径研究</w:t>
      </w:r>
    </w:p>
    <w:p>
      <w:pPr>
        <w:spacing w:line="360" w:lineRule="auto"/>
        <w:ind w:left="502" w:hanging="439" w:hangingChars="157"/>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17.以“两个结合”继续推进马克思主义中国化时代化研究</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18.新时代思想政治教育理论创新研究</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19.新时代青年国家安全意识教育研究</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20.信息时代高校意识形态安全研究</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21.中国共产党领导高等教育基本经验研究</w:t>
      </w:r>
    </w:p>
    <w:p>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000000"/>
          <w:kern w:val="0"/>
          <w:sz w:val="28"/>
          <w:szCs w:val="28"/>
          <w:lang w:val="en-US" w:eastAsia="zh-CN" w:bidi="ar"/>
        </w:rPr>
        <w:t>22.“党的全面领导”的理论建构与制度路径研究</w:t>
      </w:r>
    </w:p>
    <w:p>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color w:val="000000"/>
          <w:kern w:val="0"/>
          <w:sz w:val="28"/>
          <w:szCs w:val="28"/>
          <w:lang w:val="en-US" w:eastAsia="zh-CN" w:bidi="ar"/>
        </w:rPr>
      </w:pPr>
      <w:r>
        <w:rPr>
          <w:rFonts w:hint="eastAsia" w:ascii="方正仿宋_GB2312" w:hAnsi="方正仿宋_GB2312" w:eastAsia="方正仿宋_GB2312" w:cs="方正仿宋_GB2312"/>
          <w:color w:val="000000"/>
          <w:kern w:val="0"/>
          <w:sz w:val="28"/>
          <w:szCs w:val="28"/>
          <w:lang w:val="en-US" w:eastAsia="zh-CN" w:bidi="ar"/>
        </w:rPr>
        <w:t>23.习近平新时代中国特色社会主义思想对共产党执政规律的新认识研究</w:t>
      </w:r>
    </w:p>
    <w:p>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24.</w:t>
      </w:r>
      <w:r>
        <w:rPr>
          <w:rFonts w:hint="eastAsia" w:ascii="方正仿宋_GB2312" w:hAnsi="方正仿宋_GB2312" w:eastAsia="方正仿宋_GB2312" w:cs="方正仿宋_GB2312"/>
          <w:color w:val="auto"/>
          <w:sz w:val="28"/>
          <w:szCs w:val="28"/>
        </w:rPr>
        <w:t>中国共产党队伍建设</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对外传播与影响力研究</w:t>
      </w:r>
    </w:p>
    <w:p>
      <w:pPr>
        <w:numPr>
          <w:ilvl w:val="0"/>
          <w:numId w:val="0"/>
        </w:numPr>
        <w:spacing w:line="360" w:lineRule="auto"/>
        <w:ind w:leftChars="0"/>
        <w:rPr>
          <w:rFonts w:hint="eastAsia"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25.新时代提高全党的马克思主义理论水平研究</w:t>
      </w:r>
    </w:p>
    <w:p>
      <w:pPr>
        <w:numPr>
          <w:ilvl w:val="0"/>
          <w:numId w:val="0"/>
        </w:numPr>
        <w:spacing w:line="360" w:lineRule="auto"/>
        <w:ind w:leftChars="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kern w:val="2"/>
          <w:sz w:val="28"/>
          <w:szCs w:val="28"/>
          <w:lang w:val="en-US" w:eastAsia="zh-CN" w:bidi="ar-SA"/>
        </w:rPr>
        <w:t>26.加强中国共产党防范化解重大风险和应急处突能力建设研究</w:t>
      </w:r>
    </w:p>
    <w:p>
      <w:pPr>
        <w:pStyle w:val="6"/>
        <w:numPr>
          <w:ilvl w:val="0"/>
          <w:numId w:val="0"/>
        </w:numPr>
        <w:ind w:leftChars="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27.</w:t>
      </w:r>
      <w:r>
        <w:rPr>
          <w:rFonts w:hint="eastAsia" w:ascii="方正仿宋_GB2312" w:hAnsi="方正仿宋_GB2312" w:eastAsia="方正仿宋_GB2312" w:cs="方正仿宋_GB2312"/>
          <w:color w:val="auto"/>
          <w:sz w:val="28"/>
          <w:szCs w:val="28"/>
        </w:rPr>
        <w:t>当代中国道德观念史与道德实践史研究</w:t>
      </w:r>
    </w:p>
    <w:p>
      <w:pPr>
        <w:pStyle w:val="6"/>
        <w:numPr>
          <w:ilvl w:val="0"/>
          <w:numId w:val="0"/>
        </w:numPr>
        <w:ind w:leftChars="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28.</w:t>
      </w:r>
      <w:r>
        <w:rPr>
          <w:rFonts w:hint="eastAsia" w:ascii="方正仿宋_GB2312" w:hAnsi="方正仿宋_GB2312" w:eastAsia="方正仿宋_GB2312" w:cs="方正仿宋_GB2312"/>
          <w:color w:val="auto"/>
          <w:sz w:val="28"/>
          <w:szCs w:val="28"/>
        </w:rPr>
        <w:t>新时代艺术发展引发的重要美学问题研究</w:t>
      </w:r>
    </w:p>
    <w:p>
      <w:pPr>
        <w:spacing w:line="360" w:lineRule="auto"/>
        <w:ind w:left="502" w:hanging="504" w:hangingChars="157"/>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（三）教育科学及学校、师生发展问题研究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29.上海市地方高校学科专业体系优化和动态布局战略研究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30.服务上海“四大功能，五个中心建设”，全面提升我市高校科技创新能力研究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31.新时代上海市高等学校科学技术与学科专业发展策略研究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32.高质量发展背景下上海高等教育财政支出与人才吸引力研究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33.上海市高校创新创业激励政策研究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34.高校大学生志愿服务高质量、特色化的实践研究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35.民办高校毕业生就业质量保障体系研究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36.提高民办高校毕业生就业率问题研究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37.提高民办高校新生报到率问题研究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38.民办高校校园文化与文明校园建设研究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39.分类评价背景下民办高校的办学效益提升研究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40.国际视野下上海应用技术型院校特色、品牌建设问题研究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41.分类评价背景下上海应用技术型院校教育质量保障体系研究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42.高校学生管理的科学化、法制化研究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43.高校培育时代新人创新机制和路径方法研究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44.校园文化资源在大学生思想政治教育中的作用研究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45.“五育并举”背景下高校培养学生优良学风路径与方法研究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46.高校辅导员队伍建设有效激励机制研究</w:t>
      </w:r>
    </w:p>
    <w:p>
      <w:pPr>
        <w:pStyle w:val="6"/>
        <w:numPr>
          <w:ilvl w:val="0"/>
          <w:numId w:val="0"/>
        </w:numPr>
        <w:ind w:leftChars="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47.规范高校学科建设管理，提升学科与学位点建设水平研究</w:t>
      </w:r>
    </w:p>
    <w:p>
      <w:pPr>
        <w:pStyle w:val="6"/>
        <w:widowControl w:val="0"/>
        <w:numPr>
          <w:ilvl w:val="0"/>
          <w:numId w:val="0"/>
        </w:numPr>
        <w:tabs>
          <w:tab w:val="left" w:pos="420"/>
        </w:tabs>
        <w:jc w:val="both"/>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（四）文学、新闻、体育、经济、管理，以及服务国家发展战略、地方经济社会发展问题研究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48</w:t>
      </w:r>
      <w:r>
        <w:rPr>
          <w:rFonts w:hint="eastAsia" w:ascii="方正仿宋_GB2312" w:hAnsi="方正仿宋_GB2312" w:eastAsia="方正仿宋_GB2312" w:cs="方正仿宋_GB2312"/>
          <w:color w:val="auto"/>
          <w:sz w:val="28"/>
          <w:szCs w:val="28"/>
        </w:rPr>
        <w:t xml:space="preserve">.新发展格局下货币政策理论研究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49</w:t>
      </w:r>
      <w:r>
        <w:rPr>
          <w:rFonts w:hint="eastAsia" w:ascii="方正仿宋_GB2312" w:hAnsi="方正仿宋_GB2312" w:eastAsia="方正仿宋_GB2312" w:cs="方正仿宋_GB2312"/>
          <w:color w:val="auto"/>
          <w:sz w:val="28"/>
          <w:szCs w:val="28"/>
        </w:rPr>
        <w:t xml:space="preserve">.基于国际大循环的人民币国际化研究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50</w:t>
      </w:r>
      <w:r>
        <w:rPr>
          <w:rFonts w:hint="eastAsia" w:ascii="方正仿宋_GB2312" w:hAnsi="方正仿宋_GB2312" w:eastAsia="方正仿宋_GB2312" w:cs="方正仿宋_GB2312"/>
          <w:color w:val="auto"/>
          <w:sz w:val="28"/>
          <w:szCs w:val="28"/>
        </w:rPr>
        <w:t xml:space="preserve">.货币与财政关系思想演变研究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51</w:t>
      </w:r>
      <w:r>
        <w:rPr>
          <w:rFonts w:hint="eastAsia" w:ascii="方正仿宋_GB2312" w:hAnsi="方正仿宋_GB2312" w:eastAsia="方正仿宋_GB2312" w:cs="方正仿宋_GB2312"/>
          <w:color w:val="auto"/>
          <w:sz w:val="28"/>
          <w:szCs w:val="28"/>
        </w:rPr>
        <w:t xml:space="preserve">.中国财政信贷综合平衡理论研究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52</w:t>
      </w:r>
      <w:r>
        <w:rPr>
          <w:rFonts w:hint="eastAsia" w:ascii="方正仿宋_GB2312" w:hAnsi="方正仿宋_GB2312" w:eastAsia="方正仿宋_GB2312" w:cs="方正仿宋_GB2312"/>
          <w:color w:val="auto"/>
          <w:sz w:val="28"/>
          <w:szCs w:val="28"/>
        </w:rPr>
        <w:t>.健全财政与功能财政的经济思想史研究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53</w:t>
      </w:r>
      <w:r>
        <w:rPr>
          <w:rFonts w:hint="eastAsia" w:ascii="方正仿宋_GB2312" w:hAnsi="方正仿宋_GB2312" w:eastAsia="方正仿宋_GB2312" w:cs="方正仿宋_GB2312"/>
          <w:color w:val="auto"/>
          <w:sz w:val="28"/>
          <w:szCs w:val="28"/>
        </w:rPr>
        <w:t xml:space="preserve">.南南合作的经济基础与战略研究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54</w:t>
      </w:r>
      <w:r>
        <w:rPr>
          <w:rFonts w:hint="eastAsia" w:ascii="方正仿宋_GB2312" w:hAnsi="方正仿宋_GB2312" w:eastAsia="方正仿宋_GB2312" w:cs="方正仿宋_GB2312"/>
          <w:color w:val="auto"/>
          <w:sz w:val="28"/>
          <w:szCs w:val="28"/>
        </w:rPr>
        <w:t xml:space="preserve">.世界市场分割潜在风险及其应对研究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55</w:t>
      </w:r>
      <w:r>
        <w:rPr>
          <w:rFonts w:hint="eastAsia" w:ascii="方正仿宋_GB2312" w:hAnsi="方正仿宋_GB2312" w:eastAsia="方正仿宋_GB2312" w:cs="方正仿宋_GB2312"/>
          <w:color w:val="auto"/>
          <w:sz w:val="28"/>
          <w:szCs w:val="28"/>
        </w:rPr>
        <w:t xml:space="preserve">.金融助力高质量发展的理论与实践研究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56</w:t>
      </w:r>
      <w:r>
        <w:rPr>
          <w:rFonts w:hint="eastAsia" w:ascii="方正仿宋_GB2312" w:hAnsi="方正仿宋_GB2312" w:eastAsia="方正仿宋_GB2312" w:cs="方正仿宋_GB2312"/>
          <w:color w:val="auto"/>
          <w:sz w:val="28"/>
          <w:szCs w:val="28"/>
        </w:rPr>
        <w:t xml:space="preserve">.高水平对外开放背景下的金融稳定研究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57</w:t>
      </w:r>
      <w:r>
        <w:rPr>
          <w:rFonts w:hint="eastAsia" w:ascii="方正仿宋_GB2312" w:hAnsi="方正仿宋_GB2312" w:eastAsia="方正仿宋_GB2312" w:cs="方正仿宋_GB2312"/>
          <w:color w:val="auto"/>
          <w:sz w:val="28"/>
          <w:szCs w:val="28"/>
        </w:rPr>
        <w:t>.高水平对外开放背景下的服务贸易发展研究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58</w:t>
      </w:r>
      <w:r>
        <w:rPr>
          <w:rFonts w:hint="eastAsia" w:ascii="方正仿宋_GB2312" w:hAnsi="方正仿宋_GB2312" w:eastAsia="方正仿宋_GB2312" w:cs="方正仿宋_GB2312"/>
          <w:color w:val="auto"/>
          <w:sz w:val="28"/>
          <w:szCs w:val="28"/>
        </w:rPr>
        <w:t>.教育、医疗和社会保障等领域的公共政策评估与助推机制研究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59</w:t>
      </w:r>
      <w:r>
        <w:rPr>
          <w:rFonts w:hint="eastAsia" w:ascii="方正仿宋_GB2312" w:hAnsi="方正仿宋_GB2312" w:eastAsia="方正仿宋_GB2312" w:cs="方正仿宋_GB2312"/>
          <w:color w:val="auto"/>
          <w:sz w:val="28"/>
          <w:szCs w:val="28"/>
        </w:rPr>
        <w:t>.数字货币背景下的支付清算体系转型研究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60</w:t>
      </w:r>
      <w:r>
        <w:rPr>
          <w:rFonts w:hint="eastAsia" w:ascii="方正仿宋_GB2312" w:hAnsi="方正仿宋_GB2312" w:eastAsia="方正仿宋_GB2312" w:cs="方正仿宋_GB2312"/>
          <w:color w:val="auto"/>
          <w:sz w:val="28"/>
          <w:szCs w:val="28"/>
        </w:rPr>
        <w:t xml:space="preserve">.制造业嵌入双重价值链的动力机制、效应与路径研究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6</w:t>
      </w:r>
      <w:r>
        <w:rPr>
          <w:rFonts w:hint="eastAsia" w:ascii="方正仿宋_GB2312" w:hAnsi="方正仿宋_GB2312" w:eastAsia="方正仿宋_GB2312" w:cs="方正仿宋_GB2312"/>
          <w:color w:val="auto"/>
          <w:sz w:val="28"/>
          <w:szCs w:val="28"/>
          <w:lang w:val="en-US" w:eastAsia="zh-CN"/>
        </w:rPr>
        <w:t>1</w:t>
      </w:r>
      <w:r>
        <w:rPr>
          <w:rFonts w:hint="eastAsia" w:ascii="方正仿宋_GB2312" w:hAnsi="方正仿宋_GB2312" w:eastAsia="方正仿宋_GB2312" w:cs="方正仿宋_GB2312"/>
          <w:color w:val="auto"/>
          <w:sz w:val="28"/>
          <w:szCs w:val="28"/>
        </w:rPr>
        <w:t xml:space="preserve">.数字经济与研发创新的协同效应研究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62</w:t>
      </w:r>
      <w:r>
        <w:rPr>
          <w:rFonts w:hint="eastAsia" w:ascii="方正仿宋_GB2312" w:hAnsi="方正仿宋_GB2312" w:eastAsia="方正仿宋_GB2312" w:cs="方正仿宋_GB2312"/>
          <w:color w:val="auto"/>
          <w:sz w:val="28"/>
          <w:szCs w:val="28"/>
        </w:rPr>
        <w:t xml:space="preserve">.大数据分析中的算法研究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63</w:t>
      </w:r>
      <w:r>
        <w:rPr>
          <w:rFonts w:hint="eastAsia" w:ascii="方正仿宋_GB2312" w:hAnsi="方正仿宋_GB2312" w:eastAsia="方正仿宋_GB2312" w:cs="方正仿宋_GB2312"/>
          <w:color w:val="auto"/>
          <w:sz w:val="28"/>
          <w:szCs w:val="28"/>
        </w:rPr>
        <w:t xml:space="preserve">.机器学习方法在经济学中的应用研究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64</w:t>
      </w:r>
      <w:r>
        <w:rPr>
          <w:rFonts w:hint="eastAsia" w:ascii="方正仿宋_GB2312" w:hAnsi="方正仿宋_GB2312" w:eastAsia="方正仿宋_GB2312" w:cs="方正仿宋_GB2312"/>
          <w:color w:val="auto"/>
          <w:sz w:val="28"/>
          <w:szCs w:val="28"/>
        </w:rPr>
        <w:t xml:space="preserve">.数字化转型与国际贸易政策传导有效性研究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65</w:t>
      </w:r>
      <w:r>
        <w:rPr>
          <w:rFonts w:hint="eastAsia" w:ascii="方正仿宋_GB2312" w:hAnsi="方正仿宋_GB2312" w:eastAsia="方正仿宋_GB2312" w:cs="方正仿宋_GB2312"/>
          <w:color w:val="auto"/>
          <w:sz w:val="28"/>
          <w:szCs w:val="28"/>
        </w:rPr>
        <w:t>.数字贸易驱动中国企业出口竞争力提升的机制与路径研究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66</w:t>
      </w:r>
      <w:r>
        <w:rPr>
          <w:rFonts w:hint="eastAsia" w:ascii="方正仿宋_GB2312" w:hAnsi="方正仿宋_GB2312" w:eastAsia="方正仿宋_GB2312" w:cs="方正仿宋_GB2312"/>
          <w:color w:val="auto"/>
          <w:sz w:val="28"/>
          <w:szCs w:val="28"/>
        </w:rPr>
        <w:t xml:space="preserve">.产业数字化水平测度与提升路径研究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67</w:t>
      </w:r>
      <w:r>
        <w:rPr>
          <w:rFonts w:hint="eastAsia" w:ascii="方正仿宋_GB2312" w:hAnsi="方正仿宋_GB2312" w:eastAsia="方正仿宋_GB2312" w:cs="方正仿宋_GB2312"/>
          <w:color w:val="auto"/>
          <w:sz w:val="28"/>
          <w:szCs w:val="28"/>
        </w:rPr>
        <w:t xml:space="preserve">.未来产业发展创新要素识别机制与路径培育研究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68</w:t>
      </w:r>
      <w:r>
        <w:rPr>
          <w:rFonts w:hint="eastAsia" w:ascii="方正仿宋_GB2312" w:hAnsi="方正仿宋_GB2312" w:eastAsia="方正仿宋_GB2312" w:cs="方正仿宋_GB2312"/>
          <w:color w:val="auto"/>
          <w:sz w:val="28"/>
          <w:szCs w:val="28"/>
        </w:rPr>
        <w:t xml:space="preserve">.研发要素跨境流动的机制和效应研究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69</w:t>
      </w:r>
      <w:r>
        <w:rPr>
          <w:rFonts w:hint="eastAsia" w:ascii="方正仿宋_GB2312" w:hAnsi="方正仿宋_GB2312" w:eastAsia="方正仿宋_GB2312" w:cs="方正仿宋_GB2312"/>
          <w:color w:val="auto"/>
          <w:sz w:val="28"/>
          <w:szCs w:val="28"/>
        </w:rPr>
        <w:t xml:space="preserve">.推动现代服务业同先进制造业、现代农业深度融合研究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70</w:t>
      </w:r>
      <w:r>
        <w:rPr>
          <w:rFonts w:hint="eastAsia" w:ascii="方正仿宋_GB2312" w:hAnsi="方正仿宋_GB2312" w:eastAsia="方正仿宋_GB2312" w:cs="方正仿宋_GB2312"/>
          <w:color w:val="auto"/>
          <w:sz w:val="28"/>
          <w:szCs w:val="28"/>
        </w:rPr>
        <w:t xml:space="preserve">.加快建设制造强国的产业政策、区域布局和产业体系研究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71</w:t>
      </w:r>
      <w:r>
        <w:rPr>
          <w:rFonts w:hint="eastAsia" w:ascii="方正仿宋_GB2312" w:hAnsi="方正仿宋_GB2312" w:eastAsia="方正仿宋_GB2312" w:cs="方正仿宋_GB2312"/>
          <w:color w:val="auto"/>
          <w:sz w:val="28"/>
          <w:szCs w:val="28"/>
        </w:rPr>
        <w:t xml:space="preserve">.实施自由贸易试验区提升战略的思路与对策研究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72</w:t>
      </w:r>
      <w:r>
        <w:rPr>
          <w:rFonts w:hint="eastAsia" w:ascii="方正仿宋_GB2312" w:hAnsi="方正仿宋_GB2312" w:eastAsia="方正仿宋_GB2312" w:cs="方正仿宋_GB2312"/>
          <w:color w:val="auto"/>
          <w:sz w:val="28"/>
          <w:szCs w:val="28"/>
        </w:rPr>
        <w:t xml:space="preserve">.高标准自由贸易区网络构建战略研究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73</w:t>
      </w:r>
      <w:r>
        <w:rPr>
          <w:rFonts w:hint="eastAsia" w:ascii="方正仿宋_GB2312" w:hAnsi="方正仿宋_GB2312" w:eastAsia="方正仿宋_GB2312" w:cs="方正仿宋_GB2312"/>
          <w:color w:val="auto"/>
          <w:sz w:val="28"/>
          <w:szCs w:val="28"/>
        </w:rPr>
        <w:t xml:space="preserve">.新发展阶段优化营商环境研究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74</w:t>
      </w:r>
      <w:r>
        <w:rPr>
          <w:rFonts w:hint="eastAsia" w:ascii="方正仿宋_GB2312" w:hAnsi="方正仿宋_GB2312" w:eastAsia="方正仿宋_GB2312" w:cs="方正仿宋_GB2312"/>
          <w:color w:val="auto"/>
          <w:sz w:val="28"/>
          <w:szCs w:val="28"/>
        </w:rPr>
        <w:t xml:space="preserve">.数字化赋能服务业高质量发展研究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75</w:t>
      </w:r>
      <w:r>
        <w:rPr>
          <w:rFonts w:hint="eastAsia" w:ascii="方正仿宋_GB2312" w:hAnsi="方正仿宋_GB2312" w:eastAsia="方正仿宋_GB2312" w:cs="方正仿宋_GB2312"/>
          <w:color w:val="auto"/>
          <w:sz w:val="28"/>
          <w:szCs w:val="28"/>
        </w:rPr>
        <w:t xml:space="preserve">.发展数字贸易与促进贸易强国建设研究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76</w:t>
      </w:r>
      <w:r>
        <w:rPr>
          <w:rFonts w:hint="eastAsia" w:ascii="方正仿宋_GB2312" w:hAnsi="方正仿宋_GB2312" w:eastAsia="方正仿宋_GB2312" w:cs="方正仿宋_GB2312"/>
          <w:color w:val="auto"/>
          <w:sz w:val="28"/>
          <w:szCs w:val="28"/>
        </w:rPr>
        <w:t>.深入推进长三角更高质量一体化发展研究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77</w:t>
      </w:r>
      <w:r>
        <w:rPr>
          <w:rFonts w:hint="eastAsia" w:ascii="方正仿宋_GB2312" w:hAnsi="方正仿宋_GB2312" w:eastAsia="方正仿宋_GB2312" w:cs="方正仿宋_GB2312"/>
          <w:color w:val="auto"/>
          <w:sz w:val="28"/>
          <w:szCs w:val="28"/>
        </w:rPr>
        <w:t>.未来城市空间结构、产业结构、人居结构形态研究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78</w:t>
      </w:r>
      <w:r>
        <w:rPr>
          <w:rFonts w:hint="eastAsia" w:ascii="方正仿宋_GB2312" w:hAnsi="方正仿宋_GB2312" w:eastAsia="方正仿宋_GB2312" w:cs="方正仿宋_GB2312"/>
          <w:color w:val="auto"/>
          <w:sz w:val="28"/>
          <w:szCs w:val="28"/>
        </w:rPr>
        <w:t>.全球产业体系调整和供应链重构对上海影响研究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79</w:t>
      </w:r>
      <w:r>
        <w:rPr>
          <w:rFonts w:hint="eastAsia" w:ascii="方正仿宋_GB2312" w:hAnsi="方正仿宋_GB2312" w:eastAsia="方正仿宋_GB2312" w:cs="方正仿宋_GB2312"/>
          <w:color w:val="auto"/>
          <w:sz w:val="28"/>
          <w:szCs w:val="28"/>
        </w:rPr>
        <w:t>.面向经济安全的上海关键产业链韧性提升研究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80</w:t>
      </w:r>
      <w:r>
        <w:rPr>
          <w:rFonts w:hint="eastAsia" w:ascii="方正仿宋_GB2312" w:hAnsi="方正仿宋_GB2312" w:eastAsia="方正仿宋_GB2312" w:cs="方正仿宋_GB2312"/>
          <w:color w:val="auto"/>
          <w:sz w:val="28"/>
          <w:szCs w:val="28"/>
        </w:rPr>
        <w:t>.打造具有国际核心竞争力的优势产业集群研究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81</w:t>
      </w:r>
      <w:r>
        <w:rPr>
          <w:rFonts w:hint="eastAsia" w:ascii="方正仿宋_GB2312" w:hAnsi="方正仿宋_GB2312" w:eastAsia="方正仿宋_GB2312" w:cs="方正仿宋_GB2312"/>
          <w:color w:val="auto"/>
          <w:sz w:val="28"/>
          <w:szCs w:val="28"/>
        </w:rPr>
        <w:t>.区域贸易协定中公平竞争与中小企业保护的机制设计研究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82</w:t>
      </w:r>
      <w:r>
        <w:rPr>
          <w:rFonts w:hint="eastAsia" w:ascii="方正仿宋_GB2312" w:hAnsi="方正仿宋_GB2312" w:eastAsia="方正仿宋_GB2312" w:cs="方正仿宋_GB2312"/>
          <w:color w:val="auto"/>
          <w:sz w:val="28"/>
          <w:szCs w:val="28"/>
        </w:rPr>
        <w:t>.数字经济环境下的农村现代化和城乡融合研究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83</w:t>
      </w:r>
      <w:r>
        <w:rPr>
          <w:rFonts w:hint="eastAsia" w:ascii="方正仿宋_GB2312" w:hAnsi="方正仿宋_GB2312" w:eastAsia="方正仿宋_GB2312" w:cs="方正仿宋_GB2312"/>
          <w:color w:val="auto"/>
          <w:sz w:val="28"/>
          <w:szCs w:val="28"/>
        </w:rPr>
        <w:t>.“十</w:t>
      </w:r>
      <w:r>
        <w:rPr>
          <w:rFonts w:hint="eastAsia" w:ascii="方正仿宋_GB2312" w:hAnsi="方正仿宋_GB2312" w:eastAsia="方正仿宋_GB2312" w:cs="方正仿宋_GB2312"/>
          <w:color w:val="auto"/>
          <w:sz w:val="28"/>
          <w:szCs w:val="28"/>
          <w:lang w:val="en-US" w:eastAsia="zh-CN"/>
        </w:rPr>
        <w:t>五</w:t>
      </w:r>
      <w:r>
        <w:rPr>
          <w:rFonts w:hint="eastAsia" w:ascii="方正仿宋_GB2312" w:hAnsi="方正仿宋_GB2312" w:eastAsia="方正仿宋_GB2312" w:cs="方正仿宋_GB2312"/>
          <w:color w:val="auto"/>
          <w:sz w:val="28"/>
          <w:szCs w:val="28"/>
        </w:rPr>
        <w:t>五”时期上海区域经济协调发展政策研究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84</w:t>
      </w:r>
      <w:r>
        <w:rPr>
          <w:rFonts w:hint="eastAsia" w:ascii="方正仿宋_GB2312" w:hAnsi="方正仿宋_GB2312" w:eastAsia="方正仿宋_GB2312" w:cs="方正仿宋_GB2312"/>
          <w:color w:val="auto"/>
          <w:sz w:val="28"/>
          <w:szCs w:val="28"/>
        </w:rPr>
        <w:t>.健全预算绩效管理激励约束机制研究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85</w:t>
      </w:r>
      <w:r>
        <w:rPr>
          <w:rFonts w:hint="eastAsia" w:ascii="方正仿宋_GB2312" w:hAnsi="方正仿宋_GB2312" w:eastAsia="方正仿宋_GB2312" w:cs="方正仿宋_GB2312"/>
          <w:color w:val="auto"/>
          <w:sz w:val="28"/>
          <w:szCs w:val="28"/>
        </w:rPr>
        <w:t>.要素流动与长三角一体化建设研究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86</w:t>
      </w:r>
      <w:r>
        <w:rPr>
          <w:rFonts w:hint="eastAsia" w:ascii="方正仿宋_GB2312" w:hAnsi="方正仿宋_GB2312" w:eastAsia="方正仿宋_GB2312" w:cs="方正仿宋_GB2312"/>
          <w:color w:val="auto"/>
          <w:sz w:val="28"/>
          <w:szCs w:val="28"/>
        </w:rPr>
        <w:t>.旅游发展与居民幸福指数研究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87</w:t>
      </w:r>
      <w:r>
        <w:rPr>
          <w:rFonts w:hint="eastAsia" w:ascii="方正仿宋_GB2312" w:hAnsi="方正仿宋_GB2312" w:eastAsia="方正仿宋_GB2312" w:cs="方正仿宋_GB2312"/>
          <w:color w:val="auto"/>
          <w:sz w:val="28"/>
          <w:szCs w:val="28"/>
        </w:rPr>
        <w:t>.长三角区域经济高质量发展研究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88</w:t>
      </w:r>
      <w:r>
        <w:rPr>
          <w:rFonts w:hint="eastAsia" w:ascii="方正仿宋_GB2312" w:hAnsi="方正仿宋_GB2312" w:eastAsia="方正仿宋_GB2312" w:cs="方正仿宋_GB2312"/>
          <w:color w:val="auto"/>
          <w:sz w:val="28"/>
          <w:szCs w:val="28"/>
        </w:rPr>
        <w:t>.民营企业诚信体系建设问题研究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89</w:t>
      </w:r>
      <w:r>
        <w:rPr>
          <w:rFonts w:hint="eastAsia" w:ascii="方正仿宋_GB2312" w:hAnsi="方正仿宋_GB2312" w:eastAsia="方正仿宋_GB2312" w:cs="方正仿宋_GB2312"/>
          <w:color w:val="auto"/>
          <w:sz w:val="28"/>
          <w:szCs w:val="28"/>
        </w:rPr>
        <w:t>.加强对预算编制的宏观指导研究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90</w:t>
      </w:r>
      <w:r>
        <w:rPr>
          <w:rFonts w:hint="eastAsia" w:ascii="方正仿宋_GB2312" w:hAnsi="方正仿宋_GB2312" w:eastAsia="方正仿宋_GB2312" w:cs="方正仿宋_GB2312"/>
          <w:color w:val="auto"/>
          <w:sz w:val="28"/>
          <w:szCs w:val="28"/>
        </w:rPr>
        <w:t>.超大城市降碳减污扩绿的协同发展机制研究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91</w:t>
      </w:r>
      <w:r>
        <w:rPr>
          <w:rFonts w:hint="eastAsia" w:ascii="方正仿宋_GB2312" w:hAnsi="方正仿宋_GB2312" w:eastAsia="方正仿宋_GB2312" w:cs="方正仿宋_GB2312"/>
          <w:color w:val="auto"/>
          <w:sz w:val="28"/>
          <w:szCs w:val="28"/>
        </w:rPr>
        <w:t>.加快城市绿色低碳转型发展研究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92</w:t>
      </w:r>
      <w:r>
        <w:rPr>
          <w:rFonts w:hint="eastAsia" w:ascii="方正仿宋_GB2312" w:hAnsi="方正仿宋_GB2312" w:eastAsia="方正仿宋_GB2312" w:cs="方正仿宋_GB2312"/>
          <w:color w:val="auto"/>
          <w:sz w:val="28"/>
          <w:szCs w:val="28"/>
        </w:rPr>
        <w:t>.崇明世界级生态岛建设研究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93</w:t>
      </w:r>
      <w:r>
        <w:rPr>
          <w:rFonts w:hint="eastAsia" w:ascii="方正仿宋_GB2312" w:hAnsi="方正仿宋_GB2312" w:eastAsia="方正仿宋_GB2312" w:cs="方正仿宋_GB2312"/>
          <w:color w:val="auto"/>
          <w:sz w:val="28"/>
          <w:szCs w:val="28"/>
        </w:rPr>
        <w:t>.国际化大都市语言战略与语言服务体系研究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94</w:t>
      </w:r>
      <w:r>
        <w:rPr>
          <w:rFonts w:hint="eastAsia" w:ascii="方正仿宋_GB2312" w:hAnsi="方正仿宋_GB2312" w:eastAsia="方正仿宋_GB2312" w:cs="方正仿宋_GB2312"/>
          <w:color w:val="auto"/>
          <w:sz w:val="28"/>
          <w:szCs w:val="28"/>
        </w:rPr>
        <w:t>.构建生育友好型社会政策支持体系研究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95</w:t>
      </w:r>
      <w:r>
        <w:rPr>
          <w:rFonts w:hint="eastAsia" w:ascii="方正仿宋_GB2312" w:hAnsi="方正仿宋_GB2312" w:eastAsia="方正仿宋_GB2312" w:cs="方正仿宋_GB2312"/>
          <w:color w:val="auto"/>
          <w:sz w:val="28"/>
          <w:szCs w:val="28"/>
        </w:rPr>
        <w:t>.健康老龄化与积极老龄观融合路径政策研究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96</w:t>
      </w:r>
      <w:r>
        <w:rPr>
          <w:rFonts w:hint="eastAsia" w:ascii="方正仿宋_GB2312" w:hAnsi="方正仿宋_GB2312" w:eastAsia="方正仿宋_GB2312" w:cs="方正仿宋_GB2312"/>
          <w:color w:val="auto"/>
          <w:sz w:val="28"/>
          <w:szCs w:val="28"/>
        </w:rPr>
        <w:t>.持续深化上海养老服务体系研究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97</w:t>
      </w:r>
      <w:r>
        <w:rPr>
          <w:rFonts w:hint="eastAsia" w:ascii="方正仿宋_GB2312" w:hAnsi="方正仿宋_GB2312" w:eastAsia="方正仿宋_GB2312" w:cs="方正仿宋_GB2312"/>
          <w:color w:val="auto"/>
          <w:sz w:val="28"/>
          <w:szCs w:val="28"/>
        </w:rPr>
        <w:t>.社会保障体系改革的系统协同研究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98</w:t>
      </w:r>
      <w:r>
        <w:rPr>
          <w:rFonts w:hint="eastAsia" w:ascii="方正仿宋_GB2312" w:hAnsi="方正仿宋_GB2312" w:eastAsia="方正仿宋_GB2312" w:cs="方正仿宋_GB2312"/>
          <w:color w:val="auto"/>
          <w:sz w:val="28"/>
          <w:szCs w:val="28"/>
        </w:rPr>
        <w:t>.完善人民健康促进政策研究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99</w:t>
      </w:r>
      <w:r>
        <w:rPr>
          <w:rFonts w:hint="eastAsia" w:ascii="方正仿宋_GB2312" w:hAnsi="方正仿宋_GB2312" w:eastAsia="方正仿宋_GB2312" w:cs="方正仿宋_GB2312"/>
          <w:color w:val="auto"/>
          <w:sz w:val="28"/>
          <w:szCs w:val="28"/>
        </w:rPr>
        <w:t>.健康中国视域下当代大学生心理健康研究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00</w:t>
      </w:r>
      <w:r>
        <w:rPr>
          <w:rFonts w:hint="eastAsia" w:ascii="方正仿宋_GB2312" w:hAnsi="方正仿宋_GB2312" w:eastAsia="方正仿宋_GB2312" w:cs="方正仿宋_GB2312"/>
          <w:color w:val="auto"/>
          <w:sz w:val="28"/>
          <w:szCs w:val="28"/>
        </w:rPr>
        <w:t>.</w:t>
      </w:r>
      <w:bookmarkStart w:id="0" w:name="_GoBack"/>
      <w:r>
        <w:rPr>
          <w:rFonts w:hint="eastAsia" w:ascii="方正仿宋_GB2312" w:hAnsi="方正仿宋_GB2312" w:eastAsia="方正仿宋_GB2312" w:cs="方正仿宋_GB2312"/>
          <w:color w:val="auto"/>
          <w:sz w:val="28"/>
          <w:szCs w:val="28"/>
        </w:rPr>
        <w:t>打造文化自信自强的上海样本研究</w:t>
      </w:r>
      <w:bookmarkEnd w:id="0"/>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01</w:t>
      </w:r>
      <w:r>
        <w:rPr>
          <w:rFonts w:hint="eastAsia" w:ascii="方正仿宋_GB2312" w:hAnsi="方正仿宋_GB2312" w:eastAsia="方正仿宋_GB2312" w:cs="方正仿宋_GB2312"/>
          <w:color w:val="auto"/>
          <w:sz w:val="28"/>
          <w:szCs w:val="28"/>
        </w:rPr>
        <w:t>.民营企业合法权利的司法保障制度研究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02</w:t>
      </w:r>
      <w:r>
        <w:rPr>
          <w:rFonts w:hint="eastAsia" w:ascii="方正仿宋_GB2312" w:hAnsi="方正仿宋_GB2312" w:eastAsia="方正仿宋_GB2312" w:cs="方正仿宋_GB2312"/>
          <w:color w:val="auto"/>
          <w:sz w:val="28"/>
          <w:szCs w:val="28"/>
        </w:rPr>
        <w:t>.构建新发展格局法治保障研究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03</w:t>
      </w:r>
      <w:r>
        <w:rPr>
          <w:rFonts w:hint="eastAsia" w:ascii="方正仿宋_GB2312" w:hAnsi="方正仿宋_GB2312" w:eastAsia="方正仿宋_GB2312" w:cs="方正仿宋_GB2312"/>
          <w:color w:val="auto"/>
          <w:sz w:val="28"/>
          <w:szCs w:val="28"/>
        </w:rPr>
        <w:t>.现代信息技术驱动的长江经济带营商环境研究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04</w:t>
      </w:r>
      <w:r>
        <w:rPr>
          <w:rFonts w:hint="eastAsia" w:ascii="方正仿宋_GB2312" w:hAnsi="方正仿宋_GB2312" w:eastAsia="方正仿宋_GB2312" w:cs="方正仿宋_GB2312"/>
          <w:color w:val="auto"/>
          <w:sz w:val="28"/>
          <w:szCs w:val="28"/>
        </w:rPr>
        <w:t>.构建长江经济带具有国际竞争力的现代产业体系研究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05</w:t>
      </w:r>
      <w:r>
        <w:rPr>
          <w:rFonts w:hint="eastAsia" w:ascii="方正仿宋_GB2312" w:hAnsi="方正仿宋_GB2312" w:eastAsia="方正仿宋_GB2312" w:cs="方正仿宋_GB2312"/>
          <w:color w:val="auto"/>
          <w:sz w:val="28"/>
          <w:szCs w:val="28"/>
        </w:rPr>
        <w:t>.突发事件引发金融风险跨市场传染的干预对策研究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06</w:t>
      </w:r>
      <w:r>
        <w:rPr>
          <w:rFonts w:hint="eastAsia" w:ascii="方正仿宋_GB2312" w:hAnsi="方正仿宋_GB2312" w:eastAsia="方正仿宋_GB2312" w:cs="方正仿宋_GB2312"/>
          <w:color w:val="auto"/>
          <w:sz w:val="28"/>
          <w:szCs w:val="28"/>
        </w:rPr>
        <w:t>.推动上海加快转变超大城市发展方式研究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07</w:t>
      </w:r>
      <w:r>
        <w:rPr>
          <w:rFonts w:hint="eastAsia" w:ascii="方正仿宋_GB2312" w:hAnsi="方正仿宋_GB2312" w:eastAsia="方正仿宋_GB2312" w:cs="方正仿宋_GB2312"/>
          <w:color w:val="auto"/>
          <w:sz w:val="28"/>
          <w:szCs w:val="28"/>
        </w:rPr>
        <w:t>.提升上海“五个中心”能级的重大举措和路径研究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08</w:t>
      </w:r>
      <w:r>
        <w:rPr>
          <w:rFonts w:hint="eastAsia" w:ascii="方正仿宋_GB2312" w:hAnsi="方正仿宋_GB2312" w:eastAsia="方正仿宋_GB2312" w:cs="方正仿宋_GB2312"/>
          <w:color w:val="auto"/>
          <w:sz w:val="28"/>
          <w:szCs w:val="28"/>
        </w:rPr>
        <w:t>.“长三角”地区养老服务协同供给机制研究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09</w:t>
      </w:r>
      <w:r>
        <w:rPr>
          <w:rFonts w:hint="eastAsia" w:ascii="方正仿宋_GB2312" w:hAnsi="方正仿宋_GB2312" w:eastAsia="方正仿宋_GB2312" w:cs="方正仿宋_GB2312"/>
          <w:color w:val="auto"/>
          <w:sz w:val="28"/>
          <w:szCs w:val="28"/>
        </w:rPr>
        <w:t>.技术应用型高校服务“一带一路”沿线国中国企业的对策研究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10</w:t>
      </w:r>
      <w:r>
        <w:rPr>
          <w:rFonts w:hint="eastAsia" w:ascii="方正仿宋_GB2312" w:hAnsi="方正仿宋_GB2312" w:eastAsia="方正仿宋_GB2312" w:cs="方正仿宋_GB2312"/>
          <w:color w:val="auto"/>
          <w:sz w:val="28"/>
          <w:szCs w:val="28"/>
        </w:rPr>
        <w:t>.基于大数据驱动的上海公共服务精准管理策略研究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11</w:t>
      </w:r>
      <w:r>
        <w:rPr>
          <w:rFonts w:hint="eastAsia" w:ascii="方正仿宋_GB2312" w:hAnsi="方正仿宋_GB2312" w:eastAsia="方正仿宋_GB2312" w:cs="方正仿宋_GB2312"/>
          <w:color w:val="auto"/>
          <w:sz w:val="28"/>
          <w:szCs w:val="28"/>
        </w:rPr>
        <w:t>.大数据</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人工智能背景下上海经济高质量发展的影响趋势及对策研究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12</w:t>
      </w:r>
      <w:r>
        <w:rPr>
          <w:rFonts w:hint="eastAsia" w:ascii="方正仿宋_GB2312" w:hAnsi="方正仿宋_GB2312" w:eastAsia="方正仿宋_GB2312" w:cs="方正仿宋_GB2312"/>
          <w:color w:val="auto"/>
          <w:sz w:val="28"/>
          <w:szCs w:val="28"/>
        </w:rPr>
        <w:t>.加快推进上海生态环境治理体系和治理能力现代化研究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13</w:t>
      </w:r>
      <w:r>
        <w:rPr>
          <w:rFonts w:hint="eastAsia" w:ascii="方正仿宋_GB2312" w:hAnsi="方正仿宋_GB2312" w:eastAsia="方正仿宋_GB2312" w:cs="方正仿宋_GB2312"/>
          <w:color w:val="auto"/>
          <w:sz w:val="28"/>
          <w:szCs w:val="28"/>
        </w:rPr>
        <w:t>.上海数字社会的法律治理体系与立法变革研究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14</w:t>
      </w:r>
      <w:r>
        <w:rPr>
          <w:rFonts w:hint="eastAsia" w:ascii="方正仿宋_GB2312" w:hAnsi="方正仿宋_GB2312" w:eastAsia="方正仿宋_GB2312" w:cs="方正仿宋_GB2312"/>
          <w:color w:val="auto"/>
          <w:sz w:val="28"/>
          <w:szCs w:val="28"/>
        </w:rPr>
        <w:t>.长江经济带流域生态保护与高质量发展法律制度体系研究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15</w:t>
      </w:r>
      <w:r>
        <w:rPr>
          <w:rFonts w:hint="eastAsia" w:ascii="方正仿宋_GB2312" w:hAnsi="方正仿宋_GB2312" w:eastAsia="方正仿宋_GB2312" w:cs="方正仿宋_GB2312"/>
          <w:color w:val="auto"/>
          <w:sz w:val="28"/>
          <w:szCs w:val="28"/>
        </w:rPr>
        <w:t>.突发重大公共卫生事件防控的法治体系研究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11</w:t>
      </w:r>
      <w:r>
        <w:rPr>
          <w:rFonts w:hint="eastAsia" w:ascii="方正仿宋_GB2312" w:hAnsi="方正仿宋_GB2312" w:eastAsia="方正仿宋_GB2312" w:cs="方正仿宋_GB2312"/>
          <w:color w:val="auto"/>
          <w:sz w:val="28"/>
          <w:szCs w:val="28"/>
          <w:lang w:val="en-US" w:eastAsia="zh-CN"/>
        </w:rPr>
        <w:t>6</w:t>
      </w:r>
      <w:r>
        <w:rPr>
          <w:rFonts w:hint="eastAsia" w:ascii="方正仿宋_GB2312" w:hAnsi="方正仿宋_GB2312" w:eastAsia="方正仿宋_GB2312" w:cs="方正仿宋_GB2312"/>
          <w:color w:val="auto"/>
          <w:sz w:val="28"/>
          <w:szCs w:val="28"/>
        </w:rPr>
        <w:t>.中外戏剧经典的跨文化阐释与传播研究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17</w:t>
      </w:r>
      <w:r>
        <w:rPr>
          <w:rFonts w:hint="eastAsia" w:ascii="方正仿宋_GB2312" w:hAnsi="方正仿宋_GB2312" w:eastAsia="方正仿宋_GB2312" w:cs="方正仿宋_GB2312"/>
          <w:color w:val="auto"/>
          <w:sz w:val="28"/>
          <w:szCs w:val="28"/>
        </w:rPr>
        <w:t>.中国翻译理论发展史研究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18</w:t>
      </w:r>
      <w:r>
        <w:rPr>
          <w:rFonts w:hint="eastAsia" w:ascii="方正仿宋_GB2312" w:hAnsi="方正仿宋_GB2312" w:eastAsia="方正仿宋_GB2312" w:cs="方正仿宋_GB2312"/>
          <w:color w:val="auto"/>
          <w:sz w:val="28"/>
          <w:szCs w:val="28"/>
        </w:rPr>
        <w:t>.新时代媒体公信力研究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19</w:t>
      </w:r>
      <w:r>
        <w:rPr>
          <w:rFonts w:hint="eastAsia" w:ascii="方正仿宋_GB2312" w:hAnsi="方正仿宋_GB2312" w:eastAsia="方正仿宋_GB2312" w:cs="方正仿宋_GB2312"/>
          <w:color w:val="auto"/>
          <w:sz w:val="28"/>
          <w:szCs w:val="28"/>
        </w:rPr>
        <w:t>.数字新闻学理论</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方法与实践研究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20</w:t>
      </w:r>
      <w:r>
        <w:rPr>
          <w:rFonts w:hint="eastAsia" w:ascii="方正仿宋_GB2312" w:hAnsi="方正仿宋_GB2312" w:eastAsia="方正仿宋_GB2312" w:cs="方正仿宋_GB2312"/>
          <w:color w:val="auto"/>
          <w:sz w:val="28"/>
          <w:szCs w:val="28"/>
        </w:rPr>
        <w:t>.上海城市音乐文化软实力研究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21</w:t>
      </w:r>
      <w:r>
        <w:rPr>
          <w:rFonts w:hint="eastAsia" w:ascii="方正仿宋_GB2312" w:hAnsi="方正仿宋_GB2312" w:eastAsia="方正仿宋_GB2312" w:cs="方正仿宋_GB2312"/>
          <w:color w:val="auto"/>
          <w:sz w:val="28"/>
          <w:szCs w:val="28"/>
        </w:rPr>
        <w:t>.数字化变革</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上海流通渠道创新和经济增长模式转变研究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22</w:t>
      </w:r>
      <w:r>
        <w:rPr>
          <w:rFonts w:hint="eastAsia" w:ascii="方正仿宋_GB2312" w:hAnsi="方正仿宋_GB2312" w:eastAsia="方正仿宋_GB2312" w:cs="方正仿宋_GB2312"/>
          <w:color w:val="auto"/>
          <w:sz w:val="28"/>
          <w:szCs w:val="28"/>
        </w:rPr>
        <w:t>.上海人口老龄化对经济增长的影响路径与政策选择研究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23</w:t>
      </w:r>
      <w:r>
        <w:rPr>
          <w:rFonts w:hint="eastAsia" w:ascii="方正仿宋_GB2312" w:hAnsi="方正仿宋_GB2312" w:eastAsia="方正仿宋_GB2312" w:cs="方正仿宋_GB2312"/>
          <w:color w:val="auto"/>
          <w:sz w:val="28"/>
          <w:szCs w:val="28"/>
        </w:rPr>
        <w:t>.上海各级地方政府债务与金融稳定性研究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24</w:t>
      </w:r>
      <w:r>
        <w:rPr>
          <w:rFonts w:hint="eastAsia" w:ascii="方正仿宋_GB2312" w:hAnsi="方正仿宋_GB2312" w:eastAsia="方正仿宋_GB2312" w:cs="方正仿宋_GB2312"/>
          <w:color w:val="auto"/>
          <w:sz w:val="28"/>
          <w:szCs w:val="28"/>
        </w:rPr>
        <w:t>.环境目标约束下的上海崇明区产业高质量发展研究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25</w:t>
      </w:r>
      <w:r>
        <w:rPr>
          <w:rFonts w:hint="eastAsia" w:ascii="方正仿宋_GB2312" w:hAnsi="方正仿宋_GB2312" w:eastAsia="方正仿宋_GB2312" w:cs="方正仿宋_GB2312"/>
          <w:color w:val="auto"/>
          <w:sz w:val="28"/>
          <w:szCs w:val="28"/>
        </w:rPr>
        <w:t>.贸易壁垒下上海突破性创新政策体系建构研究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26</w:t>
      </w:r>
      <w:r>
        <w:rPr>
          <w:rFonts w:hint="eastAsia" w:ascii="方正仿宋_GB2312" w:hAnsi="方正仿宋_GB2312" w:eastAsia="方正仿宋_GB2312" w:cs="方正仿宋_GB2312"/>
          <w:color w:val="auto"/>
          <w:sz w:val="28"/>
          <w:szCs w:val="28"/>
        </w:rPr>
        <w:t>.“一带一路”沿线国家文学中的中国书写研究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27</w:t>
      </w:r>
      <w:r>
        <w:rPr>
          <w:rFonts w:hint="eastAsia" w:ascii="方正仿宋_GB2312" w:hAnsi="方正仿宋_GB2312" w:eastAsia="方正仿宋_GB2312" w:cs="方正仿宋_GB2312"/>
          <w:color w:val="auto"/>
          <w:sz w:val="28"/>
          <w:szCs w:val="28"/>
        </w:rPr>
        <w:t xml:space="preserve">.区域国别学自主知识体系建构研究 </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28</w:t>
      </w:r>
      <w:r>
        <w:rPr>
          <w:rFonts w:hint="eastAsia" w:ascii="方正仿宋_GB2312" w:hAnsi="方正仿宋_GB2312" w:eastAsia="方正仿宋_GB2312" w:cs="方正仿宋_GB2312"/>
          <w:color w:val="auto"/>
          <w:sz w:val="28"/>
          <w:szCs w:val="28"/>
        </w:rPr>
        <w:t>.区域国别研究的理论基础与方法</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29</w:t>
      </w:r>
      <w:r>
        <w:rPr>
          <w:rFonts w:hint="eastAsia" w:ascii="方正仿宋_GB2312" w:hAnsi="方正仿宋_GB2312" w:eastAsia="方正仿宋_GB2312" w:cs="方正仿宋_GB2312"/>
          <w:color w:val="auto"/>
          <w:sz w:val="28"/>
          <w:szCs w:val="28"/>
        </w:rPr>
        <w:t>.国家安全自主知识体系构建研究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30</w:t>
      </w:r>
      <w:r>
        <w:rPr>
          <w:rFonts w:hint="eastAsia" w:ascii="方正仿宋_GB2312" w:hAnsi="方正仿宋_GB2312" w:eastAsia="方正仿宋_GB2312" w:cs="方正仿宋_GB2312"/>
          <w:color w:val="auto"/>
          <w:sz w:val="28"/>
          <w:szCs w:val="28"/>
        </w:rPr>
        <w:t>.海外中国共产党研究学术前沿</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31</w:t>
      </w:r>
      <w:r>
        <w:rPr>
          <w:rFonts w:hint="eastAsia" w:ascii="方正仿宋_GB2312" w:hAnsi="方正仿宋_GB2312" w:eastAsia="方正仿宋_GB2312" w:cs="方正仿宋_GB2312"/>
          <w:color w:val="auto"/>
          <w:sz w:val="28"/>
          <w:szCs w:val="28"/>
        </w:rPr>
        <w:t>.中国特色社会主义法治政府理论研究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32</w:t>
      </w:r>
      <w:r>
        <w:rPr>
          <w:rFonts w:hint="eastAsia" w:ascii="方正仿宋_GB2312" w:hAnsi="方正仿宋_GB2312" w:eastAsia="方正仿宋_GB2312" w:cs="方正仿宋_GB2312"/>
          <w:color w:val="auto"/>
          <w:sz w:val="28"/>
          <w:szCs w:val="28"/>
        </w:rPr>
        <w:t>.中国特色社会主义基层治理理论研究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33</w:t>
      </w:r>
      <w:r>
        <w:rPr>
          <w:rFonts w:hint="eastAsia" w:ascii="方正仿宋_GB2312" w:hAnsi="方正仿宋_GB2312" w:eastAsia="方正仿宋_GB2312" w:cs="方正仿宋_GB2312"/>
          <w:color w:val="auto"/>
          <w:sz w:val="28"/>
          <w:szCs w:val="28"/>
        </w:rPr>
        <w:t>.中华法系与中华优秀传统法律文化研究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34</w:t>
      </w:r>
      <w:r>
        <w:rPr>
          <w:rFonts w:hint="eastAsia" w:ascii="方正仿宋_GB2312" w:hAnsi="方正仿宋_GB2312" w:eastAsia="方正仿宋_GB2312" w:cs="方正仿宋_GB2312"/>
          <w:color w:val="auto"/>
          <w:sz w:val="28"/>
          <w:szCs w:val="28"/>
        </w:rPr>
        <w:t>.革命根据地法制史研究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35</w:t>
      </w:r>
      <w:r>
        <w:rPr>
          <w:rFonts w:hint="eastAsia" w:ascii="方正仿宋_GB2312" w:hAnsi="方正仿宋_GB2312" w:eastAsia="方正仿宋_GB2312" w:cs="方正仿宋_GB2312"/>
          <w:color w:val="auto"/>
          <w:sz w:val="28"/>
          <w:szCs w:val="28"/>
        </w:rPr>
        <w:t>.中华传统文化典籍翻译与域外传播研究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36</w:t>
      </w:r>
      <w:r>
        <w:rPr>
          <w:rFonts w:hint="eastAsia" w:ascii="方正仿宋_GB2312" w:hAnsi="方正仿宋_GB2312" w:eastAsia="方正仿宋_GB2312" w:cs="方正仿宋_GB2312"/>
          <w:color w:val="auto"/>
          <w:sz w:val="28"/>
          <w:szCs w:val="28"/>
        </w:rPr>
        <w:t>.中华民族交往交流交融史料汇编研究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37</w:t>
      </w:r>
      <w:r>
        <w:rPr>
          <w:rFonts w:hint="eastAsia" w:ascii="方正仿宋_GB2312" w:hAnsi="方正仿宋_GB2312" w:eastAsia="方正仿宋_GB2312" w:cs="方正仿宋_GB2312"/>
          <w:color w:val="auto"/>
          <w:sz w:val="28"/>
          <w:szCs w:val="28"/>
        </w:rPr>
        <w:t>.区域融合与中华文明多元一体格局研究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38</w:t>
      </w:r>
      <w:r>
        <w:rPr>
          <w:rFonts w:hint="eastAsia" w:ascii="方正仿宋_GB2312" w:hAnsi="方正仿宋_GB2312" w:eastAsia="方正仿宋_GB2312" w:cs="方正仿宋_GB2312"/>
          <w:color w:val="auto"/>
          <w:sz w:val="28"/>
          <w:szCs w:val="28"/>
        </w:rPr>
        <w:t>.新一轮科技革命与科学范式创新战略研究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39</w:t>
      </w:r>
      <w:r>
        <w:rPr>
          <w:rFonts w:hint="eastAsia" w:ascii="方正仿宋_GB2312" w:hAnsi="方正仿宋_GB2312" w:eastAsia="方正仿宋_GB2312" w:cs="方正仿宋_GB2312"/>
          <w:color w:val="auto"/>
          <w:sz w:val="28"/>
          <w:szCs w:val="28"/>
        </w:rPr>
        <w:t>.人工智能大模型价值观对齐问题研究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140.</w:t>
      </w:r>
      <w:r>
        <w:rPr>
          <w:rFonts w:hint="eastAsia" w:ascii="方正仿宋_GB2312" w:hAnsi="方正仿宋_GB2312" w:eastAsia="方正仿宋_GB2312" w:cs="方正仿宋_GB2312"/>
          <w:color w:val="auto"/>
          <w:sz w:val="28"/>
          <w:szCs w:val="28"/>
        </w:rPr>
        <w:t>人工智能国际治理趋势及对策研究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141.</w:t>
      </w:r>
      <w:r>
        <w:rPr>
          <w:rFonts w:hint="eastAsia" w:ascii="方正仿宋_GB2312" w:hAnsi="方正仿宋_GB2312" w:eastAsia="方正仿宋_GB2312" w:cs="方正仿宋_GB2312"/>
          <w:color w:val="auto"/>
          <w:sz w:val="28"/>
          <w:szCs w:val="28"/>
        </w:rPr>
        <w:t>人工智能发展的社会伦理问题研究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142.</w:t>
      </w:r>
      <w:r>
        <w:rPr>
          <w:rFonts w:hint="eastAsia" w:ascii="方正仿宋_GB2312" w:hAnsi="方正仿宋_GB2312" w:eastAsia="方正仿宋_GB2312" w:cs="方正仿宋_GB2312"/>
          <w:color w:val="auto"/>
          <w:sz w:val="28"/>
          <w:szCs w:val="28"/>
        </w:rPr>
        <w:t>全面释放实体经济和数字经济融合效能研究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143.</w:t>
      </w:r>
      <w:r>
        <w:rPr>
          <w:rFonts w:hint="eastAsia" w:ascii="方正仿宋_GB2312" w:hAnsi="方正仿宋_GB2312" w:eastAsia="方正仿宋_GB2312" w:cs="方正仿宋_GB2312"/>
          <w:color w:val="auto"/>
          <w:sz w:val="28"/>
          <w:szCs w:val="28"/>
        </w:rPr>
        <w:t>数字经济背景下新职业群体相关问题研究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144.</w:t>
      </w:r>
      <w:r>
        <w:rPr>
          <w:rFonts w:hint="eastAsia" w:ascii="方正仿宋_GB2312" w:hAnsi="方正仿宋_GB2312" w:eastAsia="方正仿宋_GB2312" w:cs="方正仿宋_GB2312"/>
          <w:color w:val="auto"/>
          <w:sz w:val="28"/>
          <w:szCs w:val="28"/>
        </w:rPr>
        <w:t>数字时代“科技创新”驱动“产业创新”底层逻辑研究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45</w:t>
      </w:r>
      <w:r>
        <w:rPr>
          <w:rFonts w:hint="eastAsia" w:ascii="方正仿宋_GB2312" w:hAnsi="方正仿宋_GB2312" w:eastAsia="方正仿宋_GB2312" w:cs="方正仿宋_GB2312"/>
          <w:color w:val="auto"/>
          <w:sz w:val="28"/>
          <w:szCs w:val="28"/>
        </w:rPr>
        <w:t>.数字人文与外国文学研究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46</w:t>
      </w:r>
      <w:r>
        <w:rPr>
          <w:rFonts w:hint="eastAsia" w:ascii="方正仿宋_GB2312" w:hAnsi="方正仿宋_GB2312" w:eastAsia="方正仿宋_GB2312" w:cs="方正仿宋_GB2312"/>
          <w:color w:val="auto"/>
          <w:sz w:val="28"/>
          <w:szCs w:val="28"/>
        </w:rPr>
        <w:t>.比较文学跨文化的新范式研究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47</w:t>
      </w:r>
      <w:r>
        <w:rPr>
          <w:rFonts w:hint="eastAsia" w:ascii="方正仿宋_GB2312" w:hAnsi="方正仿宋_GB2312" w:eastAsia="方正仿宋_GB2312" w:cs="方正仿宋_GB2312"/>
          <w:color w:val="auto"/>
          <w:sz w:val="28"/>
          <w:szCs w:val="28"/>
        </w:rPr>
        <w:t>.翻译理论研究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48</w:t>
      </w:r>
      <w:r>
        <w:rPr>
          <w:rFonts w:hint="eastAsia" w:ascii="方正仿宋_GB2312" w:hAnsi="方正仿宋_GB2312" w:eastAsia="方正仿宋_GB2312" w:cs="方正仿宋_GB2312"/>
          <w:color w:val="auto"/>
          <w:sz w:val="28"/>
          <w:szCs w:val="28"/>
        </w:rPr>
        <w:t>.推进主流媒体系统性变革的科学内涵与创新实践研究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49</w:t>
      </w:r>
      <w:r>
        <w:rPr>
          <w:rFonts w:hint="eastAsia" w:ascii="方正仿宋_GB2312" w:hAnsi="方正仿宋_GB2312" w:eastAsia="方正仿宋_GB2312" w:cs="方正仿宋_GB2312"/>
          <w:color w:val="auto"/>
          <w:sz w:val="28"/>
          <w:szCs w:val="28"/>
        </w:rPr>
        <w:t>.上海在国家国际传播能力建设中的独特作用研究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50</w:t>
      </w:r>
      <w:r>
        <w:rPr>
          <w:rFonts w:hint="eastAsia" w:ascii="方正仿宋_GB2312" w:hAnsi="方正仿宋_GB2312" w:eastAsia="方正仿宋_GB2312" w:cs="方正仿宋_GB2312"/>
          <w:color w:val="auto"/>
          <w:sz w:val="28"/>
          <w:szCs w:val="28"/>
        </w:rPr>
        <w:t>.中华体育精神研究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51</w:t>
      </w:r>
      <w:r>
        <w:rPr>
          <w:rFonts w:hint="eastAsia" w:ascii="方正仿宋_GB2312" w:hAnsi="方正仿宋_GB2312" w:eastAsia="方正仿宋_GB2312" w:cs="方正仿宋_GB2312"/>
          <w:color w:val="auto"/>
          <w:sz w:val="28"/>
          <w:szCs w:val="28"/>
        </w:rPr>
        <w:t>.中国体育文化全球化研究</w:t>
      </w:r>
    </w:p>
    <w:p>
      <w:pPr>
        <w:pStyle w:val="6"/>
        <w:widowControl w:val="0"/>
        <w:numPr>
          <w:ilvl w:val="0"/>
          <w:numId w:val="0"/>
        </w:numPr>
        <w:tabs>
          <w:tab w:val="left" w:pos="420"/>
        </w:tabs>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w:t>
      </w:r>
      <w:r>
        <w:rPr>
          <w:rFonts w:hint="eastAsia" w:ascii="方正仿宋_GB2312" w:hAnsi="方正仿宋_GB2312" w:eastAsia="方正仿宋_GB2312" w:cs="方正仿宋_GB2312"/>
          <w:color w:val="auto"/>
          <w:sz w:val="28"/>
          <w:szCs w:val="28"/>
          <w:lang w:val="en-US" w:eastAsia="zh-CN"/>
        </w:rPr>
        <w:t>52</w:t>
      </w:r>
      <w:r>
        <w:rPr>
          <w:rFonts w:hint="eastAsia" w:ascii="方正仿宋_GB2312" w:hAnsi="方正仿宋_GB2312" w:eastAsia="方正仿宋_GB2312" w:cs="方正仿宋_GB2312"/>
          <w:color w:val="auto"/>
          <w:sz w:val="28"/>
          <w:szCs w:val="28"/>
        </w:rPr>
        <w:t>.新时代体育发展方式研究</w:t>
      </w:r>
    </w:p>
    <w:p>
      <w:pPr>
        <w:pStyle w:val="6"/>
        <w:widowControl w:val="0"/>
        <w:numPr>
          <w:ilvl w:val="0"/>
          <w:numId w:val="0"/>
        </w:numPr>
        <w:tabs>
          <w:tab w:val="left" w:pos="420"/>
        </w:tabs>
        <w:jc w:val="both"/>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（五）自主选题研究</w:t>
      </w:r>
    </w:p>
    <w:p>
      <w:pPr>
        <w:pStyle w:val="6"/>
        <w:widowControl w:val="0"/>
        <w:numPr>
          <w:ilvl w:val="0"/>
          <w:numId w:val="0"/>
        </w:numPr>
        <w:tabs>
          <w:tab w:val="left" w:pos="420"/>
        </w:tabs>
        <w:ind w:firstLine="560" w:firstLineChars="200"/>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各位老师、研究人员、辅导员可以结合个人的研究基础和特长选择自己学科专业领域最新热点问题申报立项，或延续有价值的硕博论文深化研究。</w:t>
      </w:r>
    </w:p>
    <w:p>
      <w:pPr>
        <w:spacing w:line="360" w:lineRule="auto"/>
        <w:ind w:left="502" w:hanging="439" w:hangingChars="157"/>
        <w:rPr>
          <w:rFonts w:hint="eastAsia" w:ascii="宋体" w:hAnsi="宋体" w:eastAsia="宋体" w:cs="宋体"/>
          <w:color w:val="auto"/>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9B7F6D8-4332-4FEE-8140-2B7C7EF77D4E}"/>
  </w:font>
  <w:font w:name="方正仿宋_GB2312">
    <w:panose1 w:val="02000000000000000000"/>
    <w:charset w:val="86"/>
    <w:family w:val="auto"/>
    <w:pitch w:val="default"/>
    <w:sig w:usb0="A00002BF" w:usb1="184F6CFA" w:usb2="00000012" w:usb3="00000000" w:csb0="00040001" w:csb1="00000000"/>
    <w:embedRegular r:id="rId2" w:fontKey="{A69E7564-60FE-4450-AB7B-BDF49E5254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dd5bd78e-df32-45cf-a593-ed13db1a5697"/>
  </w:docVars>
  <w:rsids>
    <w:rsidRoot w:val="00000000"/>
    <w:rsid w:val="045111F3"/>
    <w:rsid w:val="0708351A"/>
    <w:rsid w:val="07D661F9"/>
    <w:rsid w:val="083D3697"/>
    <w:rsid w:val="0C48595C"/>
    <w:rsid w:val="1327319F"/>
    <w:rsid w:val="195C5947"/>
    <w:rsid w:val="2C7E7C57"/>
    <w:rsid w:val="2FF8255E"/>
    <w:rsid w:val="307750E9"/>
    <w:rsid w:val="34940B89"/>
    <w:rsid w:val="360417EA"/>
    <w:rsid w:val="3D2020EB"/>
    <w:rsid w:val="3DDC686A"/>
    <w:rsid w:val="3EB73A6E"/>
    <w:rsid w:val="49857C94"/>
    <w:rsid w:val="4B1C5596"/>
    <w:rsid w:val="5F3322E5"/>
    <w:rsid w:val="635822A8"/>
    <w:rsid w:val="66C0263F"/>
    <w:rsid w:val="6B5B1745"/>
    <w:rsid w:val="6B941155"/>
    <w:rsid w:val="7244557E"/>
    <w:rsid w:val="7250028D"/>
    <w:rsid w:val="732B2CD2"/>
    <w:rsid w:val="74FB5672"/>
    <w:rsid w:val="7F207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2024-12-12T07:38:00Z</dcterms:created>
  <dc:creator>hp-3</dc:creator>
  <cp:lastModifiedBy>云溪</cp:lastModifiedBy>
  <dcterms:modified xsi:type="dcterms:W3CDTF">2025-01-08T06:29:18Z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F8D91551D6994A0CAAB871BE09A53CFB</vt:lpwstr>
  </property>
</Properties>
</file>